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4D80" w:rsidRDefault="007A4D80">
      <w:pPr>
        <w:jc w:val="center"/>
        <w:rPr>
          <w:rFonts w:cs="Times New Roman"/>
          <w:b/>
          <w:sz w:val="24"/>
          <w:szCs w:val="24"/>
        </w:rPr>
      </w:pPr>
      <w:bookmarkStart w:id="0" w:name="_GoBack"/>
      <w:bookmarkEnd w:id="0"/>
      <w:r w:rsidRPr="00F01191">
        <w:rPr>
          <w:rFonts w:eastAsia="Times New Roman" w:cs="Times New Roman"/>
          <w:noProof/>
          <w:sz w:val="24"/>
          <w:szCs w:val="24"/>
          <w:lang w:val="en-US"/>
        </w:rPr>
        <w:drawing>
          <wp:anchor distT="0" distB="0" distL="114300" distR="114300" simplePos="0" relativeHeight="251658240" behindDoc="0" locked="0" layoutInCell="1" allowOverlap="1">
            <wp:simplePos x="0" y="0"/>
            <wp:positionH relativeFrom="column">
              <wp:posOffset>-57785</wp:posOffset>
            </wp:positionH>
            <wp:positionV relativeFrom="paragraph">
              <wp:posOffset>160434</wp:posOffset>
            </wp:positionV>
            <wp:extent cx="558165" cy="761365"/>
            <wp:effectExtent l="0" t="0" r="0" b="63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8" cstate="print">
                      <a:extLst>
                        <a:ext uri="{28A0092B-C50C-407E-A947-70E740481C1C}">
                          <a14:useLocalDpi xmlns:a14="http://schemas.microsoft.com/office/drawing/2010/main" val="0"/>
                        </a:ext>
                      </a:extLst>
                    </a:blip>
                    <a:stretch/>
                  </pic:blipFill>
                  <pic:spPr bwMode="auto">
                    <a:xfrm>
                      <a:off x="0" y="0"/>
                      <a:ext cx="558165"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D80" w:rsidRDefault="007A4D80" w:rsidP="007A4D80">
      <w:pPr>
        <w:jc w:val="left"/>
        <w:rPr>
          <w:rFonts w:cs="Times New Roman"/>
          <w:b/>
          <w:sz w:val="24"/>
          <w:szCs w:val="24"/>
        </w:rPr>
      </w:pPr>
      <w:r>
        <w:rPr>
          <w:rFonts w:cs="Times New Roman"/>
          <w:b/>
          <w:sz w:val="24"/>
          <w:szCs w:val="24"/>
        </w:rPr>
        <w:t>REPUBLIKA HRVATSKA</w:t>
      </w:r>
    </w:p>
    <w:p w:rsidR="007D4A93" w:rsidRPr="00F01191" w:rsidRDefault="00EF0BEB" w:rsidP="007A4D80">
      <w:pPr>
        <w:jc w:val="left"/>
        <w:rPr>
          <w:rFonts w:cs="Times New Roman"/>
          <w:b/>
          <w:sz w:val="24"/>
          <w:szCs w:val="24"/>
        </w:rPr>
      </w:pPr>
      <w:r w:rsidRPr="00F01191">
        <w:rPr>
          <w:rFonts w:cs="Times New Roman"/>
          <w:b/>
          <w:sz w:val="24"/>
          <w:szCs w:val="24"/>
        </w:rPr>
        <w:t>MINISTARSTVO GOSPODARSTVA I ODRŽIVOG RAZVOJA</w:t>
      </w:r>
    </w:p>
    <w:p w:rsidR="007D4A93" w:rsidRPr="00F01191" w:rsidRDefault="0014604B">
      <w:pPr>
        <w:jc w:val="left"/>
        <w:rPr>
          <w:rFonts w:cs="Times New Roman"/>
          <w:sz w:val="24"/>
          <w:szCs w:val="24"/>
        </w:rPr>
      </w:pPr>
      <w:r w:rsidRPr="00F01191">
        <w:rPr>
          <w:rFonts w:cs="Times New Roman"/>
          <w:sz w:val="24"/>
          <w:szCs w:val="24"/>
        </w:rPr>
        <w:t>___________________________________________________________________________</w:t>
      </w:r>
    </w:p>
    <w:p w:rsidR="007D4A93" w:rsidRPr="00F01191" w:rsidRDefault="007D4A93">
      <w:pPr>
        <w:jc w:val="left"/>
        <w:rPr>
          <w:rFonts w:cs="Times New Roman"/>
          <w:sz w:val="24"/>
          <w:szCs w:val="24"/>
        </w:rPr>
      </w:pPr>
    </w:p>
    <w:p w:rsidR="007D4A93" w:rsidRDefault="007D4A93">
      <w:pPr>
        <w:jc w:val="left"/>
        <w:rPr>
          <w:rFonts w:cs="Times New Roman"/>
          <w:sz w:val="28"/>
          <w:szCs w:val="28"/>
        </w:rPr>
      </w:pPr>
    </w:p>
    <w:p w:rsidR="00C97B8B" w:rsidRPr="00F01191" w:rsidRDefault="00C97B8B">
      <w:pPr>
        <w:jc w:val="left"/>
        <w:rPr>
          <w:rFonts w:cs="Times New Roman"/>
          <w:sz w:val="28"/>
          <w:szCs w:val="28"/>
        </w:rPr>
      </w:pPr>
    </w:p>
    <w:p w:rsidR="007D4A93" w:rsidRPr="00F01191" w:rsidRDefault="007D4A93">
      <w:pPr>
        <w:tabs>
          <w:tab w:val="left" w:pos="5387"/>
        </w:tabs>
        <w:spacing w:line="280" w:lineRule="exact"/>
        <w:rPr>
          <w:rFonts w:cs="Times New Roman"/>
          <w:sz w:val="32"/>
          <w:szCs w:val="32"/>
        </w:rPr>
      </w:pPr>
    </w:p>
    <w:p w:rsidR="007D4A93" w:rsidRPr="00F01191" w:rsidRDefault="007D4A93">
      <w:pPr>
        <w:tabs>
          <w:tab w:val="left" w:pos="5387"/>
        </w:tabs>
        <w:spacing w:line="280" w:lineRule="exact"/>
        <w:rPr>
          <w:rFonts w:cs="Times New Roman"/>
          <w:sz w:val="32"/>
          <w:szCs w:val="32"/>
        </w:rPr>
      </w:pPr>
    </w:p>
    <w:p w:rsidR="007D4A93" w:rsidRPr="00F01191" w:rsidRDefault="007D4A93">
      <w:pPr>
        <w:tabs>
          <w:tab w:val="left" w:pos="5387"/>
        </w:tabs>
        <w:spacing w:line="280" w:lineRule="exact"/>
        <w:rPr>
          <w:rFonts w:cs="Times New Roman"/>
          <w:sz w:val="28"/>
          <w:szCs w:val="28"/>
        </w:rPr>
      </w:pPr>
    </w:p>
    <w:p w:rsidR="007D4A93" w:rsidRPr="00F01191" w:rsidRDefault="00EF0BEB" w:rsidP="00953BED">
      <w:pPr>
        <w:pStyle w:val="Title"/>
        <w:rPr>
          <w:rFonts w:ascii="Times New Roman" w:eastAsia="Calibri" w:hAnsi="Times New Roman" w:cs="Times New Roman"/>
          <w:bCs w:val="0"/>
          <w:spacing w:val="0"/>
          <w:sz w:val="28"/>
          <w:szCs w:val="28"/>
        </w:rPr>
      </w:pPr>
      <w:r w:rsidRPr="00F01191">
        <w:rPr>
          <w:rFonts w:ascii="Times New Roman" w:eastAsia="Calibri" w:hAnsi="Times New Roman" w:cs="Times New Roman"/>
          <w:bCs w:val="0"/>
          <w:spacing w:val="0"/>
          <w:sz w:val="28"/>
          <w:szCs w:val="28"/>
        </w:rPr>
        <w:t>STRATEGIJ</w:t>
      </w:r>
      <w:r w:rsidR="00953BED" w:rsidRPr="00F01191">
        <w:rPr>
          <w:rFonts w:ascii="Times New Roman" w:eastAsia="Calibri" w:hAnsi="Times New Roman" w:cs="Times New Roman"/>
          <w:bCs w:val="0"/>
          <w:spacing w:val="0"/>
          <w:sz w:val="28"/>
          <w:szCs w:val="28"/>
        </w:rPr>
        <w:t>A</w:t>
      </w:r>
      <w:r w:rsidRPr="00F01191">
        <w:rPr>
          <w:rFonts w:ascii="Times New Roman" w:eastAsia="Calibri" w:hAnsi="Times New Roman" w:cs="Times New Roman"/>
          <w:bCs w:val="0"/>
          <w:spacing w:val="0"/>
          <w:sz w:val="28"/>
          <w:szCs w:val="28"/>
        </w:rPr>
        <w:t xml:space="preserve"> NISKOUGLJIČNOG RAZVOJA REPUBLIKE HRVATSKE DO 2030. S POGLEDOM NA 2050. GODINU</w:t>
      </w:r>
    </w:p>
    <w:p w:rsidR="007D4A93" w:rsidRPr="00F01191" w:rsidRDefault="007D4A93">
      <w:pPr>
        <w:rPr>
          <w:rFonts w:cs="Times New Roman"/>
        </w:rPr>
      </w:pPr>
    </w:p>
    <w:p w:rsidR="007D4A93" w:rsidRPr="00F01191" w:rsidRDefault="007D4A93">
      <w:pPr>
        <w:tabs>
          <w:tab w:val="left" w:pos="5387"/>
        </w:tabs>
        <w:spacing w:line="280" w:lineRule="exact"/>
        <w:rPr>
          <w:rFonts w:cs="Times New Roman"/>
          <w:sz w:val="32"/>
          <w:szCs w:val="32"/>
        </w:rPr>
      </w:pPr>
    </w:p>
    <w:p w:rsidR="007D4A93" w:rsidRPr="00F01191" w:rsidRDefault="007D4A93">
      <w:pPr>
        <w:jc w:val="left"/>
        <w:rPr>
          <w:rFonts w:cs="Times New Roman"/>
          <w:sz w:val="28"/>
          <w:szCs w:val="28"/>
        </w:rPr>
      </w:pPr>
    </w:p>
    <w:p w:rsidR="007D4A93" w:rsidRPr="00F01191" w:rsidRDefault="007D4A93">
      <w:pPr>
        <w:jc w:val="left"/>
        <w:rPr>
          <w:rFonts w:cs="Times New Roman"/>
          <w:sz w:val="28"/>
          <w:szCs w:val="28"/>
        </w:rPr>
      </w:pPr>
    </w:p>
    <w:p w:rsidR="007D4A93" w:rsidRPr="00F01191" w:rsidRDefault="007D4A93">
      <w:pPr>
        <w:jc w:val="left"/>
        <w:rPr>
          <w:rFonts w:cs="Times New Roman"/>
          <w:sz w:val="28"/>
          <w:szCs w:val="28"/>
        </w:rPr>
      </w:pPr>
    </w:p>
    <w:p w:rsidR="009600FB" w:rsidRPr="00F01191" w:rsidRDefault="009600FB">
      <w:pPr>
        <w:jc w:val="left"/>
        <w:rPr>
          <w:rFonts w:cs="Times New Roman"/>
          <w:sz w:val="28"/>
          <w:szCs w:val="28"/>
        </w:rPr>
      </w:pPr>
    </w:p>
    <w:p w:rsidR="009600FB" w:rsidRPr="00F01191" w:rsidRDefault="009600FB">
      <w:pPr>
        <w:jc w:val="left"/>
        <w:rPr>
          <w:rFonts w:cs="Times New Roman"/>
          <w:sz w:val="28"/>
          <w:szCs w:val="28"/>
        </w:rPr>
      </w:pPr>
    </w:p>
    <w:p w:rsidR="009600FB" w:rsidRPr="00F01191" w:rsidRDefault="009600FB">
      <w:pPr>
        <w:jc w:val="left"/>
        <w:rPr>
          <w:rFonts w:cs="Times New Roman"/>
          <w:sz w:val="28"/>
          <w:szCs w:val="28"/>
        </w:rPr>
      </w:pPr>
    </w:p>
    <w:p w:rsidR="009600FB" w:rsidRPr="00F01191" w:rsidRDefault="009600FB">
      <w:pPr>
        <w:jc w:val="left"/>
        <w:rPr>
          <w:rFonts w:cs="Times New Roman"/>
          <w:sz w:val="28"/>
          <w:szCs w:val="28"/>
        </w:rPr>
      </w:pPr>
    </w:p>
    <w:p w:rsidR="009600FB" w:rsidRPr="00F01191" w:rsidRDefault="009600FB">
      <w:pPr>
        <w:jc w:val="left"/>
        <w:rPr>
          <w:rFonts w:cs="Times New Roman"/>
          <w:sz w:val="28"/>
          <w:szCs w:val="28"/>
        </w:rPr>
      </w:pPr>
    </w:p>
    <w:p w:rsidR="007D4A93" w:rsidRDefault="007D4A93">
      <w:pPr>
        <w:jc w:val="left"/>
        <w:rPr>
          <w:rFonts w:cs="Times New Roman"/>
          <w:sz w:val="28"/>
          <w:szCs w:val="28"/>
        </w:rPr>
      </w:pPr>
    </w:p>
    <w:p w:rsidR="00D533B5" w:rsidRDefault="00D533B5">
      <w:pPr>
        <w:jc w:val="left"/>
        <w:rPr>
          <w:rFonts w:cs="Times New Roman"/>
          <w:sz w:val="28"/>
          <w:szCs w:val="28"/>
        </w:rPr>
      </w:pPr>
    </w:p>
    <w:p w:rsidR="00D533B5" w:rsidRDefault="00D533B5">
      <w:pPr>
        <w:jc w:val="left"/>
        <w:rPr>
          <w:rFonts w:cs="Times New Roman"/>
          <w:sz w:val="28"/>
          <w:szCs w:val="28"/>
        </w:rPr>
      </w:pPr>
    </w:p>
    <w:p w:rsidR="00D533B5" w:rsidRDefault="00D533B5">
      <w:pPr>
        <w:jc w:val="left"/>
        <w:rPr>
          <w:rFonts w:cs="Times New Roman"/>
          <w:sz w:val="28"/>
          <w:szCs w:val="28"/>
        </w:rPr>
      </w:pPr>
    </w:p>
    <w:p w:rsidR="00D533B5" w:rsidRPr="00F01191" w:rsidRDefault="00D533B5">
      <w:pPr>
        <w:jc w:val="left"/>
        <w:rPr>
          <w:rFonts w:cs="Times New Roman"/>
          <w:sz w:val="28"/>
          <w:szCs w:val="28"/>
        </w:rPr>
      </w:pPr>
    </w:p>
    <w:p w:rsidR="007D4A93" w:rsidRPr="00F01191" w:rsidRDefault="007D4A93">
      <w:pPr>
        <w:jc w:val="left"/>
        <w:rPr>
          <w:rFonts w:cs="Times New Roman"/>
          <w:sz w:val="28"/>
          <w:szCs w:val="28"/>
        </w:rPr>
      </w:pPr>
    </w:p>
    <w:p w:rsidR="007D4A93" w:rsidRPr="00F01191" w:rsidRDefault="007A4D80">
      <w:pPr>
        <w:jc w:val="center"/>
        <w:rPr>
          <w:rFonts w:cs="Times New Roman"/>
          <w:b/>
          <w:sz w:val="24"/>
          <w:szCs w:val="24"/>
        </w:rPr>
      </w:pPr>
      <w:r>
        <w:rPr>
          <w:rFonts w:cs="Times New Roman"/>
          <w:b/>
          <w:sz w:val="24"/>
          <w:szCs w:val="24"/>
        </w:rPr>
        <w:t>L</w:t>
      </w:r>
      <w:r w:rsidR="00A20001">
        <w:rPr>
          <w:rFonts w:cs="Times New Roman"/>
          <w:b/>
          <w:sz w:val="24"/>
          <w:szCs w:val="24"/>
        </w:rPr>
        <w:t>ipanj</w:t>
      </w:r>
      <w:r>
        <w:rPr>
          <w:rFonts w:cs="Times New Roman"/>
          <w:b/>
          <w:sz w:val="24"/>
          <w:szCs w:val="24"/>
        </w:rPr>
        <w:t>,</w:t>
      </w:r>
      <w:r w:rsidR="00F711F4" w:rsidRPr="00F01191">
        <w:rPr>
          <w:rFonts w:cs="Times New Roman"/>
          <w:b/>
          <w:sz w:val="24"/>
          <w:szCs w:val="24"/>
        </w:rPr>
        <w:t xml:space="preserve"> </w:t>
      </w:r>
      <w:r w:rsidR="00EF0BEB" w:rsidRPr="00F01191">
        <w:rPr>
          <w:rFonts w:cs="Times New Roman"/>
          <w:b/>
          <w:sz w:val="24"/>
          <w:szCs w:val="24"/>
        </w:rPr>
        <w:t>202</w:t>
      </w:r>
      <w:r w:rsidR="0071178B" w:rsidRPr="00F01191">
        <w:rPr>
          <w:rFonts w:cs="Times New Roman"/>
          <w:b/>
          <w:sz w:val="24"/>
          <w:szCs w:val="24"/>
        </w:rPr>
        <w:t>1</w:t>
      </w:r>
      <w:r w:rsidR="00EF0BEB" w:rsidRPr="00F01191">
        <w:rPr>
          <w:rFonts w:cs="Times New Roman"/>
          <w:b/>
          <w:sz w:val="24"/>
          <w:szCs w:val="24"/>
        </w:rPr>
        <w:t>.</w:t>
      </w:r>
    </w:p>
    <w:p w:rsidR="0014604B" w:rsidRPr="00F01191" w:rsidRDefault="0014604B">
      <w:pPr>
        <w:jc w:val="center"/>
        <w:rPr>
          <w:rFonts w:cs="Times New Roman"/>
          <w:sz w:val="24"/>
          <w:szCs w:val="24"/>
        </w:rPr>
      </w:pPr>
      <w:r w:rsidRPr="00F01191">
        <w:rPr>
          <w:rFonts w:cs="Times New Roman"/>
          <w:sz w:val="24"/>
          <w:szCs w:val="24"/>
        </w:rPr>
        <w:t>___________________________________________________________________________</w:t>
      </w:r>
    </w:p>
    <w:p w:rsidR="007D4A93" w:rsidRPr="00F01191" w:rsidRDefault="00EF0BEB">
      <w:pPr>
        <w:rPr>
          <w:rFonts w:cs="Times New Roman"/>
          <w:b/>
          <w:sz w:val="32"/>
          <w:szCs w:val="32"/>
        </w:rPr>
      </w:pPr>
      <w:r w:rsidRPr="00F01191">
        <w:rPr>
          <w:rFonts w:cs="Times New Roman"/>
          <w:b/>
          <w:sz w:val="32"/>
          <w:szCs w:val="32"/>
        </w:rPr>
        <w:br w:type="page"/>
      </w:r>
    </w:p>
    <w:p w:rsidR="007D4A93" w:rsidRPr="00F01191" w:rsidRDefault="00EF0BEB">
      <w:pPr>
        <w:rPr>
          <w:rFonts w:cs="Times New Roman"/>
          <w:b/>
        </w:rPr>
      </w:pPr>
      <w:bookmarkStart w:id="1" w:name="_Toc21006459"/>
      <w:r w:rsidRPr="00F01191">
        <w:rPr>
          <w:rFonts w:cs="Times New Roman"/>
          <w:b/>
        </w:rPr>
        <w:lastRenderedPageBreak/>
        <w:t>S</w:t>
      </w:r>
      <w:bookmarkEnd w:id="1"/>
      <w:r w:rsidRPr="00F01191">
        <w:rPr>
          <w:rFonts w:cs="Times New Roman"/>
          <w:b/>
        </w:rPr>
        <w:t>ADRŽAJ</w:t>
      </w:r>
    </w:p>
    <w:p w:rsidR="002B625C" w:rsidRDefault="00EF0BEB">
      <w:pPr>
        <w:pStyle w:val="TOC1"/>
        <w:tabs>
          <w:tab w:val="right" w:leader="dot" w:pos="9060"/>
        </w:tabs>
        <w:rPr>
          <w:rFonts w:asciiTheme="minorHAnsi" w:eastAsiaTheme="minorEastAsia" w:hAnsiTheme="minorHAnsi" w:cstheme="minorBidi"/>
          <w:noProof/>
          <w:szCs w:val="22"/>
        </w:rPr>
      </w:pPr>
      <w:r w:rsidRPr="00F01191">
        <w:rPr>
          <w:rFonts w:cs="Times New Roman"/>
          <w:szCs w:val="22"/>
          <w:lang w:val="hr-HR"/>
        </w:rPr>
        <w:fldChar w:fldCharType="begin"/>
      </w:r>
      <w:r w:rsidRPr="00F01191">
        <w:rPr>
          <w:rFonts w:cs="Times New Roman"/>
          <w:szCs w:val="22"/>
          <w:lang w:val="hr-HR"/>
        </w:rPr>
        <w:instrText xml:space="preserve"> TOC \o "1-3" \h \z \u </w:instrText>
      </w:r>
      <w:r w:rsidRPr="00F01191">
        <w:rPr>
          <w:rFonts w:cs="Times New Roman"/>
          <w:szCs w:val="22"/>
          <w:lang w:val="hr-HR"/>
        </w:rPr>
        <w:fldChar w:fldCharType="separate"/>
      </w:r>
      <w:hyperlink w:anchor="_Toc69810139" w:history="1">
        <w:r w:rsidR="002B625C" w:rsidRPr="008C78DA">
          <w:rPr>
            <w:rStyle w:val="Hyperlink"/>
            <w:rFonts w:cs="Times New Roman"/>
            <w:noProof/>
          </w:rPr>
          <w:t>POPIS KRATICA</w:t>
        </w:r>
        <w:r w:rsidR="002B625C">
          <w:rPr>
            <w:noProof/>
            <w:webHidden/>
          </w:rPr>
          <w:tab/>
        </w:r>
        <w:r w:rsidR="002B625C">
          <w:rPr>
            <w:noProof/>
            <w:webHidden/>
          </w:rPr>
          <w:fldChar w:fldCharType="begin"/>
        </w:r>
        <w:r w:rsidR="002B625C">
          <w:rPr>
            <w:noProof/>
            <w:webHidden/>
          </w:rPr>
          <w:instrText xml:space="preserve"> PAGEREF _Toc69810139 \h </w:instrText>
        </w:r>
        <w:r w:rsidR="002B625C">
          <w:rPr>
            <w:noProof/>
            <w:webHidden/>
          </w:rPr>
        </w:r>
        <w:r w:rsidR="002B625C">
          <w:rPr>
            <w:noProof/>
            <w:webHidden/>
          </w:rPr>
          <w:fldChar w:fldCharType="separate"/>
        </w:r>
        <w:r w:rsidR="00847326">
          <w:rPr>
            <w:noProof/>
            <w:webHidden/>
          </w:rPr>
          <w:t>1</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140" w:history="1">
        <w:r w:rsidR="002B625C" w:rsidRPr="008C78DA">
          <w:rPr>
            <w:rStyle w:val="Hyperlink"/>
            <w:rFonts w:cs="Times New Roman"/>
            <w:noProof/>
          </w:rPr>
          <w:t>1.</w:t>
        </w:r>
        <w:r w:rsidR="002B625C">
          <w:rPr>
            <w:rFonts w:asciiTheme="minorHAnsi" w:eastAsiaTheme="minorEastAsia" w:hAnsiTheme="minorHAnsi" w:cstheme="minorBidi"/>
            <w:noProof/>
            <w:szCs w:val="22"/>
          </w:rPr>
          <w:tab/>
        </w:r>
        <w:r w:rsidR="002B625C" w:rsidRPr="008C78DA">
          <w:rPr>
            <w:rStyle w:val="Hyperlink"/>
            <w:rFonts w:cs="Times New Roman"/>
            <w:noProof/>
          </w:rPr>
          <w:t>PREGLED I PROCES RAZVOJA STRATEGIJE</w:t>
        </w:r>
        <w:r w:rsidR="002B625C">
          <w:rPr>
            <w:noProof/>
            <w:webHidden/>
          </w:rPr>
          <w:tab/>
        </w:r>
        <w:r w:rsidR="002B625C">
          <w:rPr>
            <w:noProof/>
            <w:webHidden/>
          </w:rPr>
          <w:fldChar w:fldCharType="begin"/>
        </w:r>
        <w:r w:rsidR="002B625C">
          <w:rPr>
            <w:noProof/>
            <w:webHidden/>
          </w:rPr>
          <w:instrText xml:space="preserve"> PAGEREF _Toc69810140 \h </w:instrText>
        </w:r>
        <w:r w:rsidR="002B625C">
          <w:rPr>
            <w:noProof/>
            <w:webHidden/>
          </w:rPr>
        </w:r>
        <w:r w:rsidR="002B625C">
          <w:rPr>
            <w:noProof/>
            <w:webHidden/>
          </w:rPr>
          <w:fldChar w:fldCharType="separate"/>
        </w:r>
        <w:r>
          <w:rPr>
            <w:noProof/>
            <w:webHidden/>
          </w:rPr>
          <w:t>2</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41" w:history="1">
        <w:r w:rsidR="002B625C" w:rsidRPr="008C78DA">
          <w:rPr>
            <w:rStyle w:val="Hyperlink"/>
            <w:rFonts w:cs="Times New Roman"/>
            <w:noProof/>
          </w:rPr>
          <w:t>1.1.</w:t>
        </w:r>
        <w:r w:rsidR="002B625C">
          <w:rPr>
            <w:rFonts w:asciiTheme="minorHAnsi" w:eastAsiaTheme="minorEastAsia" w:hAnsiTheme="minorHAnsi" w:cstheme="minorBidi"/>
            <w:noProof/>
          </w:rPr>
          <w:tab/>
        </w:r>
        <w:r w:rsidR="002B625C" w:rsidRPr="008C78DA">
          <w:rPr>
            <w:rStyle w:val="Hyperlink"/>
            <w:rFonts w:cs="Times New Roman"/>
            <w:noProof/>
          </w:rPr>
          <w:t>SAŽETAK</w:t>
        </w:r>
        <w:r w:rsidR="002B625C">
          <w:rPr>
            <w:noProof/>
            <w:webHidden/>
          </w:rPr>
          <w:tab/>
        </w:r>
        <w:r w:rsidR="002B625C">
          <w:rPr>
            <w:noProof/>
            <w:webHidden/>
          </w:rPr>
          <w:fldChar w:fldCharType="begin"/>
        </w:r>
        <w:r w:rsidR="002B625C">
          <w:rPr>
            <w:noProof/>
            <w:webHidden/>
          </w:rPr>
          <w:instrText xml:space="preserve"> PAGEREF _Toc69810141 \h </w:instrText>
        </w:r>
        <w:r w:rsidR="002B625C">
          <w:rPr>
            <w:noProof/>
            <w:webHidden/>
          </w:rPr>
        </w:r>
        <w:r w:rsidR="002B625C">
          <w:rPr>
            <w:noProof/>
            <w:webHidden/>
          </w:rPr>
          <w:fldChar w:fldCharType="separate"/>
        </w:r>
        <w:r>
          <w:rPr>
            <w:noProof/>
            <w:webHidden/>
          </w:rPr>
          <w:t>2</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42" w:history="1">
        <w:r w:rsidR="002B625C" w:rsidRPr="008C78DA">
          <w:rPr>
            <w:rStyle w:val="Hyperlink"/>
            <w:rFonts w:cs="Times New Roman"/>
            <w:noProof/>
          </w:rPr>
          <w:t>1.2.</w:t>
        </w:r>
        <w:r w:rsidR="002B625C">
          <w:rPr>
            <w:rFonts w:asciiTheme="minorHAnsi" w:eastAsiaTheme="minorEastAsia" w:hAnsiTheme="minorHAnsi" w:cstheme="minorBidi"/>
            <w:noProof/>
          </w:rPr>
          <w:tab/>
        </w:r>
        <w:r w:rsidR="002B625C" w:rsidRPr="008C78DA">
          <w:rPr>
            <w:rStyle w:val="Hyperlink"/>
            <w:rFonts w:cs="Times New Roman"/>
            <w:noProof/>
          </w:rPr>
          <w:t>PRAVNI KONTEKST I KONTEKST POLITIKA</w:t>
        </w:r>
        <w:r w:rsidR="002B625C">
          <w:rPr>
            <w:noProof/>
            <w:webHidden/>
          </w:rPr>
          <w:tab/>
        </w:r>
        <w:r w:rsidR="002B625C">
          <w:rPr>
            <w:noProof/>
            <w:webHidden/>
          </w:rPr>
          <w:fldChar w:fldCharType="begin"/>
        </w:r>
        <w:r w:rsidR="002B625C">
          <w:rPr>
            <w:noProof/>
            <w:webHidden/>
          </w:rPr>
          <w:instrText xml:space="preserve"> PAGEREF _Toc69810142 \h </w:instrText>
        </w:r>
        <w:r w:rsidR="002B625C">
          <w:rPr>
            <w:noProof/>
            <w:webHidden/>
          </w:rPr>
        </w:r>
        <w:r w:rsidR="002B625C">
          <w:rPr>
            <w:noProof/>
            <w:webHidden/>
          </w:rPr>
          <w:fldChar w:fldCharType="separate"/>
        </w:r>
        <w:r>
          <w:rPr>
            <w:noProof/>
            <w:webHidden/>
          </w:rPr>
          <w:t>9</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43" w:history="1">
        <w:r w:rsidR="002B625C" w:rsidRPr="008C78DA">
          <w:rPr>
            <w:rStyle w:val="Hyperlink"/>
            <w:rFonts w:cs="Times New Roman"/>
            <w:noProof/>
          </w:rPr>
          <w:t>1.3.</w:t>
        </w:r>
        <w:r w:rsidR="002B625C">
          <w:rPr>
            <w:rFonts w:asciiTheme="minorHAnsi" w:eastAsiaTheme="minorEastAsia" w:hAnsiTheme="minorHAnsi" w:cstheme="minorBidi"/>
            <w:noProof/>
          </w:rPr>
          <w:tab/>
        </w:r>
        <w:r w:rsidR="002B625C" w:rsidRPr="008C78DA">
          <w:rPr>
            <w:rStyle w:val="Hyperlink"/>
            <w:rFonts w:cs="Times New Roman"/>
            <w:noProof/>
          </w:rPr>
          <w:t>KRONOLOGIJA IZRADE NISKOUGLJIČNE STRATEGIJE I JAVNO SAVJETOVANJE</w:t>
        </w:r>
        <w:r w:rsidR="002B625C">
          <w:rPr>
            <w:noProof/>
            <w:webHidden/>
          </w:rPr>
          <w:tab/>
        </w:r>
        <w:r w:rsidR="002B625C">
          <w:rPr>
            <w:noProof/>
            <w:webHidden/>
          </w:rPr>
          <w:fldChar w:fldCharType="begin"/>
        </w:r>
        <w:r w:rsidR="002B625C">
          <w:rPr>
            <w:noProof/>
            <w:webHidden/>
          </w:rPr>
          <w:instrText xml:space="preserve"> PAGEREF _Toc69810143 \h </w:instrText>
        </w:r>
        <w:r w:rsidR="002B625C">
          <w:rPr>
            <w:noProof/>
            <w:webHidden/>
          </w:rPr>
        </w:r>
        <w:r w:rsidR="002B625C">
          <w:rPr>
            <w:noProof/>
            <w:webHidden/>
          </w:rPr>
          <w:fldChar w:fldCharType="separate"/>
        </w:r>
        <w:r>
          <w:rPr>
            <w:noProof/>
            <w:webHidden/>
          </w:rPr>
          <w:t>12</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44" w:history="1">
        <w:r w:rsidR="002B625C" w:rsidRPr="008C78DA">
          <w:rPr>
            <w:rStyle w:val="Hyperlink"/>
            <w:noProof/>
          </w:rPr>
          <w:t>1.3.1. Vizije za 2050. godinu i prepoznate potrebe po sektorima</w:t>
        </w:r>
        <w:r w:rsidR="002B625C">
          <w:rPr>
            <w:noProof/>
            <w:webHidden/>
          </w:rPr>
          <w:tab/>
        </w:r>
        <w:r w:rsidR="002B625C">
          <w:rPr>
            <w:noProof/>
            <w:webHidden/>
          </w:rPr>
          <w:fldChar w:fldCharType="begin"/>
        </w:r>
        <w:r w:rsidR="002B625C">
          <w:rPr>
            <w:noProof/>
            <w:webHidden/>
          </w:rPr>
          <w:instrText xml:space="preserve"> PAGEREF _Toc69810144 \h </w:instrText>
        </w:r>
        <w:r w:rsidR="002B625C">
          <w:rPr>
            <w:noProof/>
            <w:webHidden/>
          </w:rPr>
        </w:r>
        <w:r w:rsidR="002B625C">
          <w:rPr>
            <w:noProof/>
            <w:webHidden/>
          </w:rPr>
          <w:fldChar w:fldCharType="separate"/>
        </w:r>
        <w:r>
          <w:rPr>
            <w:noProof/>
            <w:webHidden/>
          </w:rPr>
          <w:t>14</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45" w:history="1">
        <w:r w:rsidR="002B625C" w:rsidRPr="008C78DA">
          <w:rPr>
            <w:rStyle w:val="Hyperlink"/>
            <w:rFonts w:cs="Times New Roman"/>
            <w:noProof/>
          </w:rPr>
          <w:t>1.4.</w:t>
        </w:r>
        <w:r w:rsidR="002B625C">
          <w:rPr>
            <w:rFonts w:asciiTheme="minorHAnsi" w:eastAsiaTheme="minorEastAsia" w:hAnsiTheme="minorHAnsi" w:cstheme="minorBidi"/>
            <w:noProof/>
          </w:rPr>
          <w:tab/>
        </w:r>
        <w:r w:rsidR="002B625C" w:rsidRPr="008C78DA">
          <w:rPr>
            <w:rStyle w:val="Hyperlink"/>
            <w:rFonts w:cs="Times New Roman"/>
            <w:noProof/>
          </w:rPr>
          <w:t>METODOLOŠKI PRISTUP</w:t>
        </w:r>
        <w:r w:rsidR="002B625C">
          <w:rPr>
            <w:noProof/>
            <w:webHidden/>
          </w:rPr>
          <w:tab/>
        </w:r>
        <w:r w:rsidR="002B625C">
          <w:rPr>
            <w:noProof/>
            <w:webHidden/>
          </w:rPr>
          <w:fldChar w:fldCharType="begin"/>
        </w:r>
        <w:r w:rsidR="002B625C">
          <w:rPr>
            <w:noProof/>
            <w:webHidden/>
          </w:rPr>
          <w:instrText xml:space="preserve"> PAGEREF _Toc69810145 \h </w:instrText>
        </w:r>
        <w:r w:rsidR="002B625C">
          <w:rPr>
            <w:noProof/>
            <w:webHidden/>
          </w:rPr>
        </w:r>
        <w:r w:rsidR="002B625C">
          <w:rPr>
            <w:noProof/>
            <w:webHidden/>
          </w:rPr>
          <w:fldChar w:fldCharType="separate"/>
        </w:r>
        <w:r>
          <w:rPr>
            <w:noProof/>
            <w:webHidden/>
          </w:rPr>
          <w:t>16</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146" w:history="1">
        <w:r w:rsidR="002B625C" w:rsidRPr="008C78DA">
          <w:rPr>
            <w:rStyle w:val="Hyperlink"/>
            <w:rFonts w:cs="Times New Roman"/>
            <w:noProof/>
          </w:rPr>
          <w:t>2.</w:t>
        </w:r>
        <w:r w:rsidR="002B625C">
          <w:rPr>
            <w:rFonts w:asciiTheme="minorHAnsi" w:eastAsiaTheme="minorEastAsia" w:hAnsiTheme="minorHAnsi" w:cstheme="minorBidi"/>
            <w:noProof/>
            <w:szCs w:val="22"/>
          </w:rPr>
          <w:tab/>
        </w:r>
        <w:r w:rsidR="002B625C" w:rsidRPr="008C78DA">
          <w:rPr>
            <w:rStyle w:val="Hyperlink"/>
            <w:rFonts w:cs="Times New Roman"/>
            <w:noProof/>
          </w:rPr>
          <w:t>SITUACIJA U REPUBLICI HRVATSKOJ</w:t>
        </w:r>
        <w:r w:rsidR="002B625C">
          <w:rPr>
            <w:noProof/>
            <w:webHidden/>
          </w:rPr>
          <w:tab/>
        </w:r>
        <w:r w:rsidR="002B625C">
          <w:rPr>
            <w:noProof/>
            <w:webHidden/>
          </w:rPr>
          <w:fldChar w:fldCharType="begin"/>
        </w:r>
        <w:r w:rsidR="002B625C">
          <w:rPr>
            <w:noProof/>
            <w:webHidden/>
          </w:rPr>
          <w:instrText xml:space="preserve"> PAGEREF _Toc69810146 \h </w:instrText>
        </w:r>
        <w:r w:rsidR="002B625C">
          <w:rPr>
            <w:noProof/>
            <w:webHidden/>
          </w:rPr>
        </w:r>
        <w:r w:rsidR="002B625C">
          <w:rPr>
            <w:noProof/>
            <w:webHidden/>
          </w:rPr>
          <w:fldChar w:fldCharType="separate"/>
        </w:r>
        <w:r>
          <w:rPr>
            <w:noProof/>
            <w:webHidden/>
          </w:rPr>
          <w:t>17</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47" w:history="1">
        <w:r w:rsidR="002B625C" w:rsidRPr="008C78DA">
          <w:rPr>
            <w:rStyle w:val="Hyperlink"/>
            <w:rFonts w:cs="Times New Roman"/>
            <w:noProof/>
          </w:rPr>
          <w:t>2.1.</w:t>
        </w:r>
        <w:r w:rsidR="002B625C">
          <w:rPr>
            <w:rFonts w:asciiTheme="minorHAnsi" w:eastAsiaTheme="minorEastAsia" w:hAnsiTheme="minorHAnsi" w:cstheme="minorBidi"/>
            <w:noProof/>
          </w:rPr>
          <w:tab/>
        </w:r>
        <w:r w:rsidR="002B625C" w:rsidRPr="008C78DA">
          <w:rPr>
            <w:rStyle w:val="Hyperlink"/>
            <w:rFonts w:cs="Times New Roman"/>
            <w:noProof/>
          </w:rPr>
          <w:t>GOSPODARSKI POKAZATELJI</w:t>
        </w:r>
        <w:r w:rsidR="002B625C">
          <w:rPr>
            <w:noProof/>
            <w:webHidden/>
          </w:rPr>
          <w:tab/>
        </w:r>
        <w:r w:rsidR="002B625C">
          <w:rPr>
            <w:noProof/>
            <w:webHidden/>
          </w:rPr>
          <w:fldChar w:fldCharType="begin"/>
        </w:r>
        <w:r w:rsidR="002B625C">
          <w:rPr>
            <w:noProof/>
            <w:webHidden/>
          </w:rPr>
          <w:instrText xml:space="preserve"> PAGEREF _Toc69810147 \h </w:instrText>
        </w:r>
        <w:r w:rsidR="002B625C">
          <w:rPr>
            <w:noProof/>
            <w:webHidden/>
          </w:rPr>
        </w:r>
        <w:r w:rsidR="002B625C">
          <w:rPr>
            <w:noProof/>
            <w:webHidden/>
          </w:rPr>
          <w:fldChar w:fldCharType="separate"/>
        </w:r>
        <w:r>
          <w:rPr>
            <w:noProof/>
            <w:webHidden/>
          </w:rPr>
          <w:t>17</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48" w:history="1">
        <w:r w:rsidR="002B625C" w:rsidRPr="008C78DA">
          <w:rPr>
            <w:rStyle w:val="Hyperlink"/>
            <w:rFonts w:cs="Times New Roman"/>
            <w:noProof/>
          </w:rPr>
          <w:t>2.2.</w:t>
        </w:r>
        <w:r w:rsidR="002B625C">
          <w:rPr>
            <w:rFonts w:asciiTheme="minorHAnsi" w:eastAsiaTheme="minorEastAsia" w:hAnsiTheme="minorHAnsi" w:cstheme="minorBidi"/>
            <w:noProof/>
          </w:rPr>
          <w:tab/>
        </w:r>
        <w:r w:rsidR="002B625C" w:rsidRPr="008C78DA">
          <w:rPr>
            <w:rStyle w:val="Hyperlink"/>
            <w:rFonts w:cs="Times New Roman"/>
            <w:noProof/>
          </w:rPr>
          <w:t>SOCIOLOŠKI POKAZATELJI</w:t>
        </w:r>
        <w:r w:rsidR="002B625C">
          <w:rPr>
            <w:noProof/>
            <w:webHidden/>
          </w:rPr>
          <w:tab/>
        </w:r>
        <w:r w:rsidR="002B625C">
          <w:rPr>
            <w:noProof/>
            <w:webHidden/>
          </w:rPr>
          <w:fldChar w:fldCharType="begin"/>
        </w:r>
        <w:r w:rsidR="002B625C">
          <w:rPr>
            <w:noProof/>
            <w:webHidden/>
          </w:rPr>
          <w:instrText xml:space="preserve"> PAGEREF _Toc69810148 \h </w:instrText>
        </w:r>
        <w:r w:rsidR="002B625C">
          <w:rPr>
            <w:noProof/>
            <w:webHidden/>
          </w:rPr>
        </w:r>
        <w:r w:rsidR="002B625C">
          <w:rPr>
            <w:noProof/>
            <w:webHidden/>
          </w:rPr>
          <w:fldChar w:fldCharType="separate"/>
        </w:r>
        <w:r>
          <w:rPr>
            <w:noProof/>
            <w:webHidden/>
          </w:rPr>
          <w:t>17</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49" w:history="1">
        <w:r w:rsidR="002B625C" w:rsidRPr="008C78DA">
          <w:rPr>
            <w:rStyle w:val="Hyperlink"/>
            <w:rFonts w:cs="Times New Roman"/>
            <w:noProof/>
          </w:rPr>
          <w:t>2.3.</w:t>
        </w:r>
        <w:r w:rsidR="002B625C">
          <w:rPr>
            <w:rFonts w:asciiTheme="minorHAnsi" w:eastAsiaTheme="minorEastAsia" w:hAnsiTheme="minorHAnsi" w:cstheme="minorBidi"/>
            <w:noProof/>
          </w:rPr>
          <w:tab/>
        </w:r>
        <w:r w:rsidR="002B625C" w:rsidRPr="008C78DA">
          <w:rPr>
            <w:rStyle w:val="Hyperlink"/>
            <w:rFonts w:cs="Times New Roman"/>
            <w:noProof/>
          </w:rPr>
          <w:t>EMISIJE STAKLENIČKIH PLINOVA</w:t>
        </w:r>
        <w:r w:rsidR="002B625C">
          <w:rPr>
            <w:noProof/>
            <w:webHidden/>
          </w:rPr>
          <w:tab/>
        </w:r>
        <w:r w:rsidR="002B625C">
          <w:rPr>
            <w:noProof/>
            <w:webHidden/>
          </w:rPr>
          <w:fldChar w:fldCharType="begin"/>
        </w:r>
        <w:r w:rsidR="002B625C">
          <w:rPr>
            <w:noProof/>
            <w:webHidden/>
          </w:rPr>
          <w:instrText xml:space="preserve"> PAGEREF _Toc69810149 \h </w:instrText>
        </w:r>
        <w:r w:rsidR="002B625C">
          <w:rPr>
            <w:noProof/>
            <w:webHidden/>
          </w:rPr>
        </w:r>
        <w:r w:rsidR="002B625C">
          <w:rPr>
            <w:noProof/>
            <w:webHidden/>
          </w:rPr>
          <w:fldChar w:fldCharType="separate"/>
        </w:r>
        <w:r>
          <w:rPr>
            <w:noProof/>
            <w:webHidden/>
          </w:rPr>
          <w:t>17</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50" w:history="1">
        <w:r w:rsidR="002B625C" w:rsidRPr="008C78DA">
          <w:rPr>
            <w:rStyle w:val="Hyperlink"/>
            <w:noProof/>
          </w:rPr>
          <w:t>2.3.1. Trend emisija</w:t>
        </w:r>
        <w:r w:rsidR="002B625C">
          <w:rPr>
            <w:noProof/>
            <w:webHidden/>
          </w:rPr>
          <w:tab/>
        </w:r>
        <w:r w:rsidR="002B625C">
          <w:rPr>
            <w:noProof/>
            <w:webHidden/>
          </w:rPr>
          <w:fldChar w:fldCharType="begin"/>
        </w:r>
        <w:r w:rsidR="002B625C">
          <w:rPr>
            <w:noProof/>
            <w:webHidden/>
          </w:rPr>
          <w:instrText xml:space="preserve"> PAGEREF _Toc69810150 \h </w:instrText>
        </w:r>
        <w:r w:rsidR="002B625C">
          <w:rPr>
            <w:noProof/>
            <w:webHidden/>
          </w:rPr>
        </w:r>
        <w:r w:rsidR="002B625C">
          <w:rPr>
            <w:noProof/>
            <w:webHidden/>
          </w:rPr>
          <w:fldChar w:fldCharType="separate"/>
        </w:r>
        <w:r>
          <w:rPr>
            <w:noProof/>
            <w:webHidden/>
          </w:rPr>
          <w:t>18</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51" w:history="1">
        <w:r w:rsidR="002B625C" w:rsidRPr="008C78DA">
          <w:rPr>
            <w:rStyle w:val="Hyperlink"/>
            <w:noProof/>
          </w:rPr>
          <w:t>2.3.2.</w:t>
        </w:r>
        <w:r w:rsidR="002B625C">
          <w:rPr>
            <w:rFonts w:asciiTheme="minorHAnsi" w:eastAsiaTheme="minorEastAsia" w:hAnsiTheme="minorHAnsi" w:cstheme="minorBidi"/>
            <w:noProof/>
          </w:rPr>
          <w:tab/>
        </w:r>
        <w:r w:rsidR="002B625C" w:rsidRPr="008C78DA">
          <w:rPr>
            <w:rStyle w:val="Hyperlink"/>
            <w:noProof/>
          </w:rPr>
          <w:t>Trend emisija s obzirom na sustav trgovanja emisijskim jedinicama (ETS)</w:t>
        </w:r>
        <w:r w:rsidR="002B625C">
          <w:rPr>
            <w:noProof/>
            <w:webHidden/>
          </w:rPr>
          <w:tab/>
        </w:r>
        <w:r w:rsidR="002B625C">
          <w:rPr>
            <w:noProof/>
            <w:webHidden/>
          </w:rPr>
          <w:fldChar w:fldCharType="begin"/>
        </w:r>
        <w:r w:rsidR="002B625C">
          <w:rPr>
            <w:noProof/>
            <w:webHidden/>
          </w:rPr>
          <w:instrText xml:space="preserve"> PAGEREF _Toc69810151 \h </w:instrText>
        </w:r>
        <w:r w:rsidR="002B625C">
          <w:rPr>
            <w:noProof/>
            <w:webHidden/>
          </w:rPr>
        </w:r>
        <w:r w:rsidR="002B625C">
          <w:rPr>
            <w:noProof/>
            <w:webHidden/>
          </w:rPr>
          <w:fldChar w:fldCharType="separate"/>
        </w:r>
        <w:r>
          <w:rPr>
            <w:noProof/>
            <w:webHidden/>
          </w:rPr>
          <w:t>20</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52" w:history="1">
        <w:r w:rsidR="002B625C" w:rsidRPr="008C78DA">
          <w:rPr>
            <w:rStyle w:val="Hyperlink"/>
            <w:noProof/>
          </w:rPr>
          <w:t>2.3.3. Odvajanje trenda gospodarskog rasta od emisije stakleničkih plinova</w:t>
        </w:r>
        <w:r w:rsidR="002B625C">
          <w:rPr>
            <w:noProof/>
            <w:webHidden/>
          </w:rPr>
          <w:tab/>
        </w:r>
        <w:r w:rsidR="002B625C">
          <w:rPr>
            <w:noProof/>
            <w:webHidden/>
          </w:rPr>
          <w:fldChar w:fldCharType="begin"/>
        </w:r>
        <w:r w:rsidR="002B625C">
          <w:rPr>
            <w:noProof/>
            <w:webHidden/>
          </w:rPr>
          <w:instrText xml:space="preserve"> PAGEREF _Toc69810152 \h </w:instrText>
        </w:r>
        <w:r w:rsidR="002B625C">
          <w:rPr>
            <w:noProof/>
            <w:webHidden/>
          </w:rPr>
        </w:r>
        <w:r w:rsidR="002B625C">
          <w:rPr>
            <w:noProof/>
            <w:webHidden/>
          </w:rPr>
          <w:fldChar w:fldCharType="separate"/>
        </w:r>
        <w:r>
          <w:rPr>
            <w:noProof/>
            <w:webHidden/>
          </w:rPr>
          <w:t>21</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153" w:history="1">
        <w:r w:rsidR="002B625C" w:rsidRPr="008C78DA">
          <w:rPr>
            <w:rStyle w:val="Hyperlink"/>
            <w:rFonts w:cs="Times New Roman"/>
            <w:noProof/>
          </w:rPr>
          <w:t xml:space="preserve">3. </w:t>
        </w:r>
        <w:r w:rsidR="002B625C">
          <w:rPr>
            <w:rFonts w:asciiTheme="minorHAnsi" w:eastAsiaTheme="minorEastAsia" w:hAnsiTheme="minorHAnsi" w:cstheme="minorBidi"/>
            <w:noProof/>
            <w:szCs w:val="22"/>
          </w:rPr>
          <w:tab/>
        </w:r>
        <w:r w:rsidR="002B625C" w:rsidRPr="008C78DA">
          <w:rPr>
            <w:rStyle w:val="Hyperlink"/>
            <w:rFonts w:cs="Times New Roman"/>
            <w:noProof/>
          </w:rPr>
          <w:t>UKUPNO SMANJENJE EMISIJA STAKLENIČKIH PLINOVA</w:t>
        </w:r>
        <w:r w:rsidR="002B625C">
          <w:rPr>
            <w:noProof/>
            <w:webHidden/>
          </w:rPr>
          <w:tab/>
        </w:r>
        <w:r w:rsidR="002B625C">
          <w:rPr>
            <w:noProof/>
            <w:webHidden/>
          </w:rPr>
          <w:fldChar w:fldCharType="begin"/>
        </w:r>
        <w:r w:rsidR="002B625C">
          <w:rPr>
            <w:noProof/>
            <w:webHidden/>
          </w:rPr>
          <w:instrText xml:space="preserve"> PAGEREF _Toc69810153 \h </w:instrText>
        </w:r>
        <w:r w:rsidR="002B625C">
          <w:rPr>
            <w:noProof/>
            <w:webHidden/>
          </w:rPr>
        </w:r>
        <w:r w:rsidR="002B625C">
          <w:rPr>
            <w:noProof/>
            <w:webHidden/>
          </w:rPr>
          <w:fldChar w:fldCharType="separate"/>
        </w:r>
        <w:r>
          <w:rPr>
            <w:noProof/>
            <w:webHidden/>
          </w:rPr>
          <w:t>21</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54" w:history="1">
        <w:r w:rsidR="002B625C" w:rsidRPr="008C78DA">
          <w:rPr>
            <w:rStyle w:val="Hyperlink"/>
            <w:rFonts w:cs="Times New Roman"/>
            <w:noProof/>
          </w:rPr>
          <w:t>3.1.</w:t>
        </w:r>
        <w:r w:rsidR="002B625C">
          <w:rPr>
            <w:rFonts w:asciiTheme="minorHAnsi" w:eastAsiaTheme="minorEastAsia" w:hAnsiTheme="minorHAnsi" w:cstheme="minorBidi"/>
            <w:noProof/>
          </w:rPr>
          <w:tab/>
        </w:r>
        <w:r w:rsidR="002B625C" w:rsidRPr="008C78DA">
          <w:rPr>
            <w:rStyle w:val="Hyperlink"/>
            <w:rFonts w:cs="Times New Roman"/>
            <w:noProof/>
          </w:rPr>
          <w:t>PREDVIĐENA SMANJENJA EMISIJA DO 2050. GODINE</w:t>
        </w:r>
        <w:r w:rsidR="002B625C">
          <w:rPr>
            <w:noProof/>
            <w:webHidden/>
          </w:rPr>
          <w:tab/>
        </w:r>
        <w:r w:rsidR="002B625C">
          <w:rPr>
            <w:noProof/>
            <w:webHidden/>
          </w:rPr>
          <w:fldChar w:fldCharType="begin"/>
        </w:r>
        <w:r w:rsidR="002B625C">
          <w:rPr>
            <w:noProof/>
            <w:webHidden/>
          </w:rPr>
          <w:instrText xml:space="preserve"> PAGEREF _Toc69810154 \h </w:instrText>
        </w:r>
        <w:r w:rsidR="002B625C">
          <w:rPr>
            <w:noProof/>
            <w:webHidden/>
          </w:rPr>
        </w:r>
        <w:r w:rsidR="002B625C">
          <w:rPr>
            <w:noProof/>
            <w:webHidden/>
          </w:rPr>
          <w:fldChar w:fldCharType="separate"/>
        </w:r>
        <w:r>
          <w:rPr>
            <w:noProof/>
            <w:webHidden/>
          </w:rPr>
          <w:t>21</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55" w:history="1">
        <w:r w:rsidR="002B625C" w:rsidRPr="008C78DA">
          <w:rPr>
            <w:rStyle w:val="Hyperlink"/>
            <w:rFonts w:cs="Times New Roman"/>
            <w:noProof/>
          </w:rPr>
          <w:t>3.2.</w:t>
        </w:r>
        <w:r w:rsidR="002B625C">
          <w:rPr>
            <w:rFonts w:asciiTheme="minorHAnsi" w:eastAsiaTheme="minorEastAsia" w:hAnsiTheme="minorHAnsi" w:cstheme="minorBidi"/>
            <w:noProof/>
          </w:rPr>
          <w:tab/>
        </w:r>
        <w:r w:rsidR="002B625C" w:rsidRPr="008C78DA">
          <w:rPr>
            <w:rStyle w:val="Hyperlink"/>
            <w:rFonts w:cs="Times New Roman"/>
            <w:noProof/>
          </w:rPr>
          <w:t>CILJEVI REPUBLIKE HRVATSKE</w:t>
        </w:r>
        <w:r w:rsidR="002B625C">
          <w:rPr>
            <w:noProof/>
            <w:webHidden/>
          </w:rPr>
          <w:tab/>
        </w:r>
        <w:r w:rsidR="002B625C">
          <w:rPr>
            <w:noProof/>
            <w:webHidden/>
          </w:rPr>
          <w:fldChar w:fldCharType="begin"/>
        </w:r>
        <w:r w:rsidR="002B625C">
          <w:rPr>
            <w:noProof/>
            <w:webHidden/>
          </w:rPr>
          <w:instrText xml:space="preserve"> PAGEREF _Toc69810155 \h </w:instrText>
        </w:r>
        <w:r w:rsidR="002B625C">
          <w:rPr>
            <w:noProof/>
            <w:webHidden/>
          </w:rPr>
        </w:r>
        <w:r w:rsidR="002B625C">
          <w:rPr>
            <w:noProof/>
            <w:webHidden/>
          </w:rPr>
          <w:fldChar w:fldCharType="separate"/>
        </w:r>
        <w:r>
          <w:rPr>
            <w:noProof/>
            <w:webHidden/>
          </w:rPr>
          <w:t>23</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56" w:history="1">
        <w:r w:rsidR="002B625C" w:rsidRPr="008C78DA">
          <w:rPr>
            <w:rStyle w:val="Hyperlink"/>
            <w:noProof/>
          </w:rPr>
          <w:t>3.2.1.</w:t>
        </w:r>
        <w:r w:rsidR="002B625C">
          <w:rPr>
            <w:rFonts w:asciiTheme="minorHAnsi" w:eastAsiaTheme="minorEastAsia" w:hAnsiTheme="minorHAnsi" w:cstheme="minorBidi"/>
            <w:noProof/>
          </w:rPr>
          <w:tab/>
        </w:r>
        <w:r w:rsidR="002B625C" w:rsidRPr="008C78DA">
          <w:rPr>
            <w:rStyle w:val="Hyperlink"/>
            <w:noProof/>
          </w:rPr>
          <w:t>Ciljevi Republike Hrvatske do 2030. godine</w:t>
        </w:r>
        <w:r w:rsidR="002B625C">
          <w:rPr>
            <w:noProof/>
            <w:webHidden/>
          </w:rPr>
          <w:tab/>
        </w:r>
        <w:r w:rsidR="002B625C">
          <w:rPr>
            <w:noProof/>
            <w:webHidden/>
          </w:rPr>
          <w:fldChar w:fldCharType="begin"/>
        </w:r>
        <w:r w:rsidR="002B625C">
          <w:rPr>
            <w:noProof/>
            <w:webHidden/>
          </w:rPr>
          <w:instrText xml:space="preserve"> PAGEREF _Toc69810156 \h </w:instrText>
        </w:r>
        <w:r w:rsidR="002B625C">
          <w:rPr>
            <w:noProof/>
            <w:webHidden/>
          </w:rPr>
        </w:r>
        <w:r w:rsidR="002B625C">
          <w:rPr>
            <w:noProof/>
            <w:webHidden/>
          </w:rPr>
          <w:fldChar w:fldCharType="separate"/>
        </w:r>
        <w:r>
          <w:rPr>
            <w:noProof/>
            <w:webHidden/>
          </w:rPr>
          <w:t>24</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57" w:history="1">
        <w:r w:rsidR="002B625C" w:rsidRPr="008C78DA">
          <w:rPr>
            <w:rStyle w:val="Hyperlink"/>
            <w:noProof/>
          </w:rPr>
          <w:t>3.2.2.</w:t>
        </w:r>
        <w:r w:rsidR="002B625C">
          <w:rPr>
            <w:rFonts w:asciiTheme="minorHAnsi" w:eastAsiaTheme="minorEastAsia" w:hAnsiTheme="minorHAnsi" w:cstheme="minorBidi"/>
            <w:noProof/>
          </w:rPr>
          <w:tab/>
        </w:r>
        <w:r w:rsidR="002B625C" w:rsidRPr="008C78DA">
          <w:rPr>
            <w:rStyle w:val="Hyperlink"/>
            <w:noProof/>
          </w:rPr>
          <w:t>Ciljevi Republike Hrvatske do 2050. godine</w:t>
        </w:r>
        <w:r w:rsidR="002B625C">
          <w:rPr>
            <w:noProof/>
            <w:webHidden/>
          </w:rPr>
          <w:tab/>
        </w:r>
        <w:r w:rsidR="002B625C">
          <w:rPr>
            <w:noProof/>
            <w:webHidden/>
          </w:rPr>
          <w:fldChar w:fldCharType="begin"/>
        </w:r>
        <w:r w:rsidR="002B625C">
          <w:rPr>
            <w:noProof/>
            <w:webHidden/>
          </w:rPr>
          <w:instrText xml:space="preserve"> PAGEREF _Toc69810157 \h </w:instrText>
        </w:r>
        <w:r w:rsidR="002B625C">
          <w:rPr>
            <w:noProof/>
            <w:webHidden/>
          </w:rPr>
        </w:r>
        <w:r w:rsidR="002B625C">
          <w:rPr>
            <w:noProof/>
            <w:webHidden/>
          </w:rPr>
          <w:fldChar w:fldCharType="separate"/>
        </w:r>
        <w:r>
          <w:rPr>
            <w:noProof/>
            <w:webHidden/>
          </w:rPr>
          <w:t>24</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58" w:history="1">
        <w:r w:rsidR="002B625C" w:rsidRPr="008C78DA">
          <w:rPr>
            <w:rStyle w:val="Hyperlink"/>
            <w:rFonts w:cs="Times New Roman"/>
            <w:noProof/>
          </w:rPr>
          <w:t>3.3.</w:t>
        </w:r>
        <w:r w:rsidR="002B625C">
          <w:rPr>
            <w:rFonts w:asciiTheme="minorHAnsi" w:eastAsiaTheme="minorEastAsia" w:hAnsiTheme="minorHAnsi" w:cstheme="minorBidi"/>
            <w:noProof/>
          </w:rPr>
          <w:tab/>
        </w:r>
        <w:r w:rsidR="002B625C" w:rsidRPr="008C78DA">
          <w:rPr>
            <w:rStyle w:val="Hyperlink"/>
            <w:rFonts w:cs="Times New Roman"/>
            <w:noProof/>
          </w:rPr>
          <w:t>TREND RAZVOJA</w:t>
        </w:r>
        <w:r w:rsidR="002B625C">
          <w:rPr>
            <w:noProof/>
            <w:webHidden/>
          </w:rPr>
          <w:tab/>
        </w:r>
        <w:r w:rsidR="002B625C">
          <w:rPr>
            <w:noProof/>
            <w:webHidden/>
          </w:rPr>
          <w:fldChar w:fldCharType="begin"/>
        </w:r>
        <w:r w:rsidR="002B625C">
          <w:rPr>
            <w:noProof/>
            <w:webHidden/>
          </w:rPr>
          <w:instrText xml:space="preserve"> PAGEREF _Toc69810158 \h </w:instrText>
        </w:r>
        <w:r w:rsidR="002B625C">
          <w:rPr>
            <w:noProof/>
            <w:webHidden/>
          </w:rPr>
        </w:r>
        <w:r w:rsidR="002B625C">
          <w:rPr>
            <w:noProof/>
            <w:webHidden/>
          </w:rPr>
          <w:fldChar w:fldCharType="separate"/>
        </w:r>
        <w:r>
          <w:rPr>
            <w:noProof/>
            <w:webHidden/>
          </w:rPr>
          <w:t>24</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59" w:history="1">
        <w:r w:rsidR="002B625C" w:rsidRPr="008C78DA">
          <w:rPr>
            <w:rStyle w:val="Hyperlink"/>
            <w:noProof/>
          </w:rPr>
          <w:t>3.3.1.</w:t>
        </w:r>
        <w:r w:rsidR="002B625C">
          <w:rPr>
            <w:rFonts w:asciiTheme="minorHAnsi" w:eastAsiaTheme="minorEastAsia" w:hAnsiTheme="minorHAnsi" w:cstheme="minorBidi"/>
            <w:noProof/>
          </w:rPr>
          <w:tab/>
        </w:r>
        <w:r w:rsidR="002B625C" w:rsidRPr="008C78DA">
          <w:rPr>
            <w:rStyle w:val="Hyperlink"/>
            <w:noProof/>
          </w:rPr>
          <w:t>Makroekonomski parametri</w:t>
        </w:r>
        <w:r w:rsidR="002B625C">
          <w:rPr>
            <w:noProof/>
            <w:webHidden/>
          </w:rPr>
          <w:tab/>
        </w:r>
        <w:r w:rsidR="002B625C">
          <w:rPr>
            <w:noProof/>
            <w:webHidden/>
          </w:rPr>
          <w:fldChar w:fldCharType="begin"/>
        </w:r>
        <w:r w:rsidR="002B625C">
          <w:rPr>
            <w:noProof/>
            <w:webHidden/>
          </w:rPr>
          <w:instrText xml:space="preserve"> PAGEREF _Toc69810159 \h </w:instrText>
        </w:r>
        <w:r w:rsidR="002B625C">
          <w:rPr>
            <w:noProof/>
            <w:webHidden/>
          </w:rPr>
        </w:r>
        <w:r w:rsidR="002B625C">
          <w:rPr>
            <w:noProof/>
            <w:webHidden/>
          </w:rPr>
          <w:fldChar w:fldCharType="separate"/>
        </w:r>
        <w:r>
          <w:rPr>
            <w:noProof/>
            <w:webHidden/>
          </w:rPr>
          <w:t>24</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60" w:history="1">
        <w:r w:rsidR="002B625C" w:rsidRPr="008C78DA">
          <w:rPr>
            <w:rStyle w:val="Hyperlink"/>
            <w:noProof/>
          </w:rPr>
          <w:t>3.3.2.</w:t>
        </w:r>
        <w:r w:rsidR="002B625C">
          <w:rPr>
            <w:rFonts w:asciiTheme="minorHAnsi" w:eastAsiaTheme="minorEastAsia" w:hAnsiTheme="minorHAnsi" w:cstheme="minorBidi"/>
            <w:noProof/>
          </w:rPr>
          <w:tab/>
        </w:r>
        <w:r w:rsidR="002B625C" w:rsidRPr="008C78DA">
          <w:rPr>
            <w:rStyle w:val="Hyperlink"/>
            <w:noProof/>
          </w:rPr>
          <w:t>Utvrđivanje scenarija</w:t>
        </w:r>
        <w:r w:rsidR="002B625C">
          <w:rPr>
            <w:noProof/>
            <w:webHidden/>
          </w:rPr>
          <w:tab/>
        </w:r>
        <w:r w:rsidR="002B625C">
          <w:rPr>
            <w:noProof/>
            <w:webHidden/>
          </w:rPr>
          <w:fldChar w:fldCharType="begin"/>
        </w:r>
        <w:r w:rsidR="002B625C">
          <w:rPr>
            <w:noProof/>
            <w:webHidden/>
          </w:rPr>
          <w:instrText xml:space="preserve"> PAGEREF _Toc69810160 \h </w:instrText>
        </w:r>
        <w:r w:rsidR="002B625C">
          <w:rPr>
            <w:noProof/>
            <w:webHidden/>
          </w:rPr>
        </w:r>
        <w:r w:rsidR="002B625C">
          <w:rPr>
            <w:noProof/>
            <w:webHidden/>
          </w:rPr>
          <w:fldChar w:fldCharType="separate"/>
        </w:r>
        <w:r>
          <w:rPr>
            <w:noProof/>
            <w:webHidden/>
          </w:rPr>
          <w:t>27</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161" w:history="1">
        <w:r w:rsidR="002B625C" w:rsidRPr="008C78DA">
          <w:rPr>
            <w:rStyle w:val="Hyperlink"/>
            <w:rFonts w:cs="Times New Roman"/>
            <w:noProof/>
          </w:rPr>
          <w:t>4.</w:t>
        </w:r>
        <w:r w:rsidR="002B625C">
          <w:rPr>
            <w:rFonts w:asciiTheme="minorHAnsi" w:eastAsiaTheme="minorEastAsia" w:hAnsiTheme="minorHAnsi" w:cstheme="minorBidi"/>
            <w:noProof/>
            <w:szCs w:val="22"/>
          </w:rPr>
          <w:tab/>
        </w:r>
        <w:r w:rsidR="002B625C" w:rsidRPr="008C78DA">
          <w:rPr>
            <w:rStyle w:val="Hyperlink"/>
            <w:rFonts w:cs="Times New Roman"/>
            <w:noProof/>
          </w:rPr>
          <w:t>ENERGIJA IZ OBNOVLJIVIH IZVORA</w:t>
        </w:r>
        <w:r w:rsidR="002B625C">
          <w:rPr>
            <w:noProof/>
            <w:webHidden/>
          </w:rPr>
          <w:tab/>
        </w:r>
        <w:r w:rsidR="002B625C">
          <w:rPr>
            <w:noProof/>
            <w:webHidden/>
          </w:rPr>
          <w:fldChar w:fldCharType="begin"/>
        </w:r>
        <w:r w:rsidR="002B625C">
          <w:rPr>
            <w:noProof/>
            <w:webHidden/>
          </w:rPr>
          <w:instrText xml:space="preserve"> PAGEREF _Toc69810161 \h </w:instrText>
        </w:r>
        <w:r w:rsidR="002B625C">
          <w:rPr>
            <w:noProof/>
            <w:webHidden/>
          </w:rPr>
        </w:r>
        <w:r w:rsidR="002B625C">
          <w:rPr>
            <w:noProof/>
            <w:webHidden/>
          </w:rPr>
          <w:fldChar w:fldCharType="separate"/>
        </w:r>
        <w:r>
          <w:rPr>
            <w:noProof/>
            <w:webHidden/>
          </w:rPr>
          <w:t>28</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162" w:history="1">
        <w:r w:rsidR="002B625C" w:rsidRPr="008C78DA">
          <w:rPr>
            <w:rStyle w:val="Hyperlink"/>
            <w:rFonts w:cs="Times New Roman"/>
            <w:noProof/>
          </w:rPr>
          <w:t>5.</w:t>
        </w:r>
        <w:r w:rsidR="002B625C">
          <w:rPr>
            <w:rFonts w:asciiTheme="minorHAnsi" w:eastAsiaTheme="minorEastAsia" w:hAnsiTheme="minorHAnsi" w:cstheme="minorBidi"/>
            <w:noProof/>
            <w:szCs w:val="22"/>
          </w:rPr>
          <w:tab/>
        </w:r>
        <w:r w:rsidR="002B625C" w:rsidRPr="008C78DA">
          <w:rPr>
            <w:rStyle w:val="Hyperlink"/>
            <w:rFonts w:cs="Times New Roman"/>
            <w:noProof/>
          </w:rPr>
          <w:t>ENERGETSKA UČINKOVITOST</w:t>
        </w:r>
        <w:r w:rsidR="002B625C">
          <w:rPr>
            <w:noProof/>
            <w:webHidden/>
          </w:rPr>
          <w:tab/>
        </w:r>
        <w:r w:rsidR="002B625C">
          <w:rPr>
            <w:noProof/>
            <w:webHidden/>
          </w:rPr>
          <w:fldChar w:fldCharType="begin"/>
        </w:r>
        <w:r w:rsidR="002B625C">
          <w:rPr>
            <w:noProof/>
            <w:webHidden/>
          </w:rPr>
          <w:instrText xml:space="preserve"> PAGEREF _Toc69810162 \h </w:instrText>
        </w:r>
        <w:r w:rsidR="002B625C">
          <w:rPr>
            <w:noProof/>
            <w:webHidden/>
          </w:rPr>
        </w:r>
        <w:r w:rsidR="002B625C">
          <w:rPr>
            <w:noProof/>
            <w:webHidden/>
          </w:rPr>
          <w:fldChar w:fldCharType="separate"/>
        </w:r>
        <w:r>
          <w:rPr>
            <w:noProof/>
            <w:webHidden/>
          </w:rPr>
          <w:t>29</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163" w:history="1">
        <w:r w:rsidR="002B625C" w:rsidRPr="008C78DA">
          <w:rPr>
            <w:rStyle w:val="Hyperlink"/>
            <w:rFonts w:cs="Times New Roman"/>
            <w:noProof/>
          </w:rPr>
          <w:t xml:space="preserve">6. </w:t>
        </w:r>
        <w:r w:rsidR="002B625C">
          <w:rPr>
            <w:rFonts w:asciiTheme="minorHAnsi" w:eastAsiaTheme="minorEastAsia" w:hAnsiTheme="minorHAnsi" w:cstheme="minorBidi"/>
            <w:noProof/>
            <w:szCs w:val="22"/>
          </w:rPr>
          <w:tab/>
        </w:r>
        <w:r w:rsidR="002B625C" w:rsidRPr="008C78DA">
          <w:rPr>
            <w:rStyle w:val="Hyperlink"/>
            <w:rFonts w:cs="Times New Roman"/>
            <w:noProof/>
          </w:rPr>
          <w:t>SCENARIJI NISKOUGLJIČNOG RAZVOJA PO SEKTORIMA</w:t>
        </w:r>
        <w:r w:rsidR="002B625C">
          <w:rPr>
            <w:noProof/>
            <w:webHidden/>
          </w:rPr>
          <w:tab/>
        </w:r>
        <w:r w:rsidR="002B625C">
          <w:rPr>
            <w:noProof/>
            <w:webHidden/>
          </w:rPr>
          <w:fldChar w:fldCharType="begin"/>
        </w:r>
        <w:r w:rsidR="002B625C">
          <w:rPr>
            <w:noProof/>
            <w:webHidden/>
          </w:rPr>
          <w:instrText xml:space="preserve"> PAGEREF _Toc69810163 \h </w:instrText>
        </w:r>
        <w:r w:rsidR="002B625C">
          <w:rPr>
            <w:noProof/>
            <w:webHidden/>
          </w:rPr>
        </w:r>
        <w:r w:rsidR="002B625C">
          <w:rPr>
            <w:noProof/>
            <w:webHidden/>
          </w:rPr>
          <w:fldChar w:fldCharType="separate"/>
        </w:r>
        <w:r>
          <w:rPr>
            <w:noProof/>
            <w:webHidden/>
          </w:rPr>
          <w:t>30</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64" w:history="1">
        <w:r w:rsidR="002B625C" w:rsidRPr="008C78DA">
          <w:rPr>
            <w:rStyle w:val="Hyperlink"/>
            <w:rFonts w:cs="Times New Roman"/>
            <w:noProof/>
          </w:rPr>
          <w:t xml:space="preserve">6.1. </w:t>
        </w:r>
        <w:r w:rsidR="002B625C">
          <w:rPr>
            <w:rFonts w:asciiTheme="minorHAnsi" w:eastAsiaTheme="minorEastAsia" w:hAnsiTheme="minorHAnsi" w:cstheme="minorBidi"/>
            <w:noProof/>
          </w:rPr>
          <w:tab/>
        </w:r>
        <w:r w:rsidR="002B625C" w:rsidRPr="008C78DA">
          <w:rPr>
            <w:rStyle w:val="Hyperlink"/>
            <w:rFonts w:cs="Times New Roman"/>
            <w:noProof/>
          </w:rPr>
          <w:t>PROIZVODNJA ELEKTRIČNE ENERGIJE I TOPLINE</w:t>
        </w:r>
        <w:r w:rsidR="002B625C">
          <w:rPr>
            <w:noProof/>
            <w:webHidden/>
          </w:rPr>
          <w:tab/>
        </w:r>
        <w:r w:rsidR="002B625C">
          <w:rPr>
            <w:noProof/>
            <w:webHidden/>
          </w:rPr>
          <w:fldChar w:fldCharType="begin"/>
        </w:r>
        <w:r w:rsidR="002B625C">
          <w:rPr>
            <w:noProof/>
            <w:webHidden/>
          </w:rPr>
          <w:instrText xml:space="preserve"> PAGEREF _Toc69810164 \h </w:instrText>
        </w:r>
        <w:r w:rsidR="002B625C">
          <w:rPr>
            <w:noProof/>
            <w:webHidden/>
          </w:rPr>
        </w:r>
        <w:r w:rsidR="002B625C">
          <w:rPr>
            <w:noProof/>
            <w:webHidden/>
          </w:rPr>
          <w:fldChar w:fldCharType="separate"/>
        </w:r>
        <w:r>
          <w:rPr>
            <w:noProof/>
            <w:webHidden/>
          </w:rPr>
          <w:t>31</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65" w:history="1">
        <w:r w:rsidR="002B625C" w:rsidRPr="008C78DA">
          <w:rPr>
            <w:rStyle w:val="Hyperlink"/>
            <w:noProof/>
          </w:rPr>
          <w:t>6.1.1. Emisije stakleničkih plinova</w:t>
        </w:r>
        <w:r w:rsidR="002B625C">
          <w:rPr>
            <w:noProof/>
            <w:webHidden/>
          </w:rPr>
          <w:tab/>
        </w:r>
        <w:r w:rsidR="002B625C">
          <w:rPr>
            <w:noProof/>
            <w:webHidden/>
          </w:rPr>
          <w:fldChar w:fldCharType="begin"/>
        </w:r>
        <w:r w:rsidR="002B625C">
          <w:rPr>
            <w:noProof/>
            <w:webHidden/>
          </w:rPr>
          <w:instrText xml:space="preserve"> PAGEREF _Toc69810165 \h </w:instrText>
        </w:r>
        <w:r w:rsidR="002B625C">
          <w:rPr>
            <w:noProof/>
            <w:webHidden/>
          </w:rPr>
        </w:r>
        <w:r w:rsidR="002B625C">
          <w:rPr>
            <w:noProof/>
            <w:webHidden/>
          </w:rPr>
          <w:fldChar w:fldCharType="separate"/>
        </w:r>
        <w:r>
          <w:rPr>
            <w:noProof/>
            <w:webHidden/>
          </w:rPr>
          <w:t>31</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66" w:history="1">
        <w:r w:rsidR="002B625C" w:rsidRPr="008C78DA">
          <w:rPr>
            <w:rStyle w:val="Hyperlink"/>
            <w:noProof/>
          </w:rPr>
          <w:t>6.1.2.</w:t>
        </w:r>
        <w:r w:rsidR="002B625C">
          <w:rPr>
            <w:rFonts w:asciiTheme="minorHAnsi" w:eastAsiaTheme="minorEastAsia" w:hAnsiTheme="minorHAnsi" w:cstheme="minorBidi"/>
            <w:noProof/>
          </w:rPr>
          <w:tab/>
        </w:r>
        <w:r w:rsidR="002B625C" w:rsidRPr="008C78DA">
          <w:rPr>
            <w:rStyle w:val="Hyperlink"/>
            <w:noProof/>
          </w:rPr>
          <w:t>Politike i mjere za niskougljični razvoj</w:t>
        </w:r>
        <w:r w:rsidR="002B625C">
          <w:rPr>
            <w:noProof/>
            <w:webHidden/>
          </w:rPr>
          <w:tab/>
        </w:r>
        <w:r w:rsidR="002B625C">
          <w:rPr>
            <w:noProof/>
            <w:webHidden/>
          </w:rPr>
          <w:fldChar w:fldCharType="begin"/>
        </w:r>
        <w:r w:rsidR="002B625C">
          <w:rPr>
            <w:noProof/>
            <w:webHidden/>
          </w:rPr>
          <w:instrText xml:space="preserve"> PAGEREF _Toc69810166 \h </w:instrText>
        </w:r>
        <w:r w:rsidR="002B625C">
          <w:rPr>
            <w:noProof/>
            <w:webHidden/>
          </w:rPr>
        </w:r>
        <w:r w:rsidR="002B625C">
          <w:rPr>
            <w:noProof/>
            <w:webHidden/>
          </w:rPr>
          <w:fldChar w:fldCharType="separate"/>
        </w:r>
        <w:r>
          <w:rPr>
            <w:noProof/>
            <w:webHidden/>
          </w:rPr>
          <w:t>31</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67" w:history="1">
        <w:r w:rsidR="002B625C" w:rsidRPr="008C78DA">
          <w:rPr>
            <w:rStyle w:val="Hyperlink"/>
            <w:noProof/>
          </w:rPr>
          <w:t>6.1.3. Smjernice za niskougljični razvoj</w:t>
        </w:r>
        <w:r w:rsidR="002B625C">
          <w:rPr>
            <w:noProof/>
            <w:webHidden/>
          </w:rPr>
          <w:tab/>
        </w:r>
        <w:r w:rsidR="002B625C">
          <w:rPr>
            <w:noProof/>
            <w:webHidden/>
          </w:rPr>
          <w:fldChar w:fldCharType="begin"/>
        </w:r>
        <w:r w:rsidR="002B625C">
          <w:rPr>
            <w:noProof/>
            <w:webHidden/>
          </w:rPr>
          <w:instrText xml:space="preserve"> PAGEREF _Toc69810167 \h </w:instrText>
        </w:r>
        <w:r w:rsidR="002B625C">
          <w:rPr>
            <w:noProof/>
            <w:webHidden/>
          </w:rPr>
        </w:r>
        <w:r w:rsidR="002B625C">
          <w:rPr>
            <w:noProof/>
            <w:webHidden/>
          </w:rPr>
          <w:fldChar w:fldCharType="separate"/>
        </w:r>
        <w:r>
          <w:rPr>
            <w:noProof/>
            <w:webHidden/>
          </w:rPr>
          <w:t>33</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68" w:history="1">
        <w:r w:rsidR="002B625C" w:rsidRPr="008C78DA">
          <w:rPr>
            <w:rStyle w:val="Hyperlink"/>
            <w:rFonts w:cs="Times New Roman"/>
            <w:noProof/>
          </w:rPr>
          <w:t xml:space="preserve">6.2. </w:t>
        </w:r>
        <w:r w:rsidR="002B625C">
          <w:rPr>
            <w:rFonts w:asciiTheme="minorHAnsi" w:eastAsiaTheme="minorEastAsia" w:hAnsiTheme="minorHAnsi" w:cstheme="minorBidi"/>
            <w:noProof/>
          </w:rPr>
          <w:tab/>
        </w:r>
        <w:r w:rsidR="002B625C" w:rsidRPr="008C78DA">
          <w:rPr>
            <w:rStyle w:val="Hyperlink"/>
            <w:rFonts w:cs="Times New Roman"/>
            <w:noProof/>
          </w:rPr>
          <w:t>PROIZVODNJA I PRERADA GORIVA</w:t>
        </w:r>
        <w:r w:rsidR="002B625C">
          <w:rPr>
            <w:noProof/>
            <w:webHidden/>
          </w:rPr>
          <w:tab/>
        </w:r>
        <w:r w:rsidR="002B625C">
          <w:rPr>
            <w:noProof/>
            <w:webHidden/>
          </w:rPr>
          <w:fldChar w:fldCharType="begin"/>
        </w:r>
        <w:r w:rsidR="002B625C">
          <w:rPr>
            <w:noProof/>
            <w:webHidden/>
          </w:rPr>
          <w:instrText xml:space="preserve"> PAGEREF _Toc69810168 \h </w:instrText>
        </w:r>
        <w:r w:rsidR="002B625C">
          <w:rPr>
            <w:noProof/>
            <w:webHidden/>
          </w:rPr>
        </w:r>
        <w:r w:rsidR="002B625C">
          <w:rPr>
            <w:noProof/>
            <w:webHidden/>
          </w:rPr>
          <w:fldChar w:fldCharType="separate"/>
        </w:r>
        <w:r>
          <w:rPr>
            <w:noProof/>
            <w:webHidden/>
          </w:rPr>
          <w:t>34</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69" w:history="1">
        <w:r w:rsidR="002B625C" w:rsidRPr="008C78DA">
          <w:rPr>
            <w:rStyle w:val="Hyperlink"/>
            <w:noProof/>
          </w:rPr>
          <w:t>6.2.1. Emisije stakleničkih plinova</w:t>
        </w:r>
        <w:r w:rsidR="002B625C">
          <w:rPr>
            <w:noProof/>
            <w:webHidden/>
          </w:rPr>
          <w:tab/>
        </w:r>
        <w:r w:rsidR="002B625C">
          <w:rPr>
            <w:noProof/>
            <w:webHidden/>
          </w:rPr>
          <w:fldChar w:fldCharType="begin"/>
        </w:r>
        <w:r w:rsidR="002B625C">
          <w:rPr>
            <w:noProof/>
            <w:webHidden/>
          </w:rPr>
          <w:instrText xml:space="preserve"> PAGEREF _Toc69810169 \h </w:instrText>
        </w:r>
        <w:r w:rsidR="002B625C">
          <w:rPr>
            <w:noProof/>
            <w:webHidden/>
          </w:rPr>
        </w:r>
        <w:r w:rsidR="002B625C">
          <w:rPr>
            <w:noProof/>
            <w:webHidden/>
          </w:rPr>
          <w:fldChar w:fldCharType="separate"/>
        </w:r>
        <w:r>
          <w:rPr>
            <w:noProof/>
            <w:webHidden/>
          </w:rPr>
          <w:t>34</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70" w:history="1">
        <w:r w:rsidR="002B625C" w:rsidRPr="008C78DA">
          <w:rPr>
            <w:rStyle w:val="Hyperlink"/>
            <w:noProof/>
          </w:rPr>
          <w:t>6.2.2. Politike i mjere za niskougljični razvoj</w:t>
        </w:r>
        <w:r w:rsidR="002B625C">
          <w:rPr>
            <w:noProof/>
            <w:webHidden/>
          </w:rPr>
          <w:tab/>
        </w:r>
        <w:r w:rsidR="002B625C">
          <w:rPr>
            <w:noProof/>
            <w:webHidden/>
          </w:rPr>
          <w:fldChar w:fldCharType="begin"/>
        </w:r>
        <w:r w:rsidR="002B625C">
          <w:rPr>
            <w:noProof/>
            <w:webHidden/>
          </w:rPr>
          <w:instrText xml:space="preserve"> PAGEREF _Toc69810170 \h </w:instrText>
        </w:r>
        <w:r w:rsidR="002B625C">
          <w:rPr>
            <w:noProof/>
            <w:webHidden/>
          </w:rPr>
        </w:r>
        <w:r w:rsidR="002B625C">
          <w:rPr>
            <w:noProof/>
            <w:webHidden/>
          </w:rPr>
          <w:fldChar w:fldCharType="separate"/>
        </w:r>
        <w:r>
          <w:rPr>
            <w:noProof/>
            <w:webHidden/>
          </w:rPr>
          <w:t>34</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71" w:history="1">
        <w:r w:rsidR="002B625C" w:rsidRPr="008C78DA">
          <w:rPr>
            <w:rStyle w:val="Hyperlink"/>
            <w:noProof/>
          </w:rPr>
          <w:t>6.2.3. Smjernice za niskougljični razvoj</w:t>
        </w:r>
        <w:r w:rsidR="002B625C">
          <w:rPr>
            <w:noProof/>
            <w:webHidden/>
          </w:rPr>
          <w:tab/>
        </w:r>
        <w:r w:rsidR="002B625C">
          <w:rPr>
            <w:noProof/>
            <w:webHidden/>
          </w:rPr>
          <w:fldChar w:fldCharType="begin"/>
        </w:r>
        <w:r w:rsidR="002B625C">
          <w:rPr>
            <w:noProof/>
            <w:webHidden/>
          </w:rPr>
          <w:instrText xml:space="preserve"> PAGEREF _Toc69810171 \h </w:instrText>
        </w:r>
        <w:r w:rsidR="002B625C">
          <w:rPr>
            <w:noProof/>
            <w:webHidden/>
          </w:rPr>
        </w:r>
        <w:r w:rsidR="002B625C">
          <w:rPr>
            <w:noProof/>
            <w:webHidden/>
          </w:rPr>
          <w:fldChar w:fldCharType="separate"/>
        </w:r>
        <w:r>
          <w:rPr>
            <w:noProof/>
            <w:webHidden/>
          </w:rPr>
          <w:t>35</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72" w:history="1">
        <w:r w:rsidR="002B625C" w:rsidRPr="008C78DA">
          <w:rPr>
            <w:rStyle w:val="Hyperlink"/>
            <w:rFonts w:cs="Times New Roman"/>
            <w:noProof/>
          </w:rPr>
          <w:t>6.3.</w:t>
        </w:r>
        <w:r w:rsidR="002B625C">
          <w:rPr>
            <w:rFonts w:asciiTheme="minorHAnsi" w:eastAsiaTheme="minorEastAsia" w:hAnsiTheme="minorHAnsi" w:cstheme="minorBidi"/>
            <w:noProof/>
          </w:rPr>
          <w:tab/>
        </w:r>
        <w:r w:rsidR="002B625C" w:rsidRPr="008C78DA">
          <w:rPr>
            <w:rStyle w:val="Hyperlink"/>
            <w:rFonts w:cs="Times New Roman"/>
            <w:noProof/>
          </w:rPr>
          <w:t>PROMET</w:t>
        </w:r>
        <w:r w:rsidR="002B625C">
          <w:rPr>
            <w:noProof/>
            <w:webHidden/>
          </w:rPr>
          <w:tab/>
        </w:r>
        <w:r w:rsidR="002B625C">
          <w:rPr>
            <w:noProof/>
            <w:webHidden/>
          </w:rPr>
          <w:fldChar w:fldCharType="begin"/>
        </w:r>
        <w:r w:rsidR="002B625C">
          <w:rPr>
            <w:noProof/>
            <w:webHidden/>
          </w:rPr>
          <w:instrText xml:space="preserve"> PAGEREF _Toc69810172 \h </w:instrText>
        </w:r>
        <w:r w:rsidR="002B625C">
          <w:rPr>
            <w:noProof/>
            <w:webHidden/>
          </w:rPr>
        </w:r>
        <w:r w:rsidR="002B625C">
          <w:rPr>
            <w:noProof/>
            <w:webHidden/>
          </w:rPr>
          <w:fldChar w:fldCharType="separate"/>
        </w:r>
        <w:r>
          <w:rPr>
            <w:noProof/>
            <w:webHidden/>
          </w:rPr>
          <w:t>36</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73" w:history="1">
        <w:r w:rsidR="002B625C" w:rsidRPr="008C78DA">
          <w:rPr>
            <w:rStyle w:val="Hyperlink"/>
            <w:noProof/>
          </w:rPr>
          <w:t>6.3.1.</w:t>
        </w:r>
        <w:r w:rsidR="002B625C">
          <w:rPr>
            <w:rFonts w:asciiTheme="minorHAnsi" w:eastAsiaTheme="minorEastAsia" w:hAnsiTheme="minorHAnsi" w:cstheme="minorBidi"/>
            <w:noProof/>
          </w:rPr>
          <w:tab/>
        </w:r>
        <w:r w:rsidR="002B625C" w:rsidRPr="008C78DA">
          <w:rPr>
            <w:rStyle w:val="Hyperlink"/>
            <w:noProof/>
          </w:rPr>
          <w:t>Emisije stakleničkih plinova</w:t>
        </w:r>
        <w:r w:rsidR="002B625C">
          <w:rPr>
            <w:noProof/>
            <w:webHidden/>
          </w:rPr>
          <w:tab/>
        </w:r>
        <w:r w:rsidR="002B625C">
          <w:rPr>
            <w:noProof/>
            <w:webHidden/>
          </w:rPr>
          <w:fldChar w:fldCharType="begin"/>
        </w:r>
        <w:r w:rsidR="002B625C">
          <w:rPr>
            <w:noProof/>
            <w:webHidden/>
          </w:rPr>
          <w:instrText xml:space="preserve"> PAGEREF _Toc69810173 \h </w:instrText>
        </w:r>
        <w:r w:rsidR="002B625C">
          <w:rPr>
            <w:noProof/>
            <w:webHidden/>
          </w:rPr>
        </w:r>
        <w:r w:rsidR="002B625C">
          <w:rPr>
            <w:noProof/>
            <w:webHidden/>
          </w:rPr>
          <w:fldChar w:fldCharType="separate"/>
        </w:r>
        <w:r>
          <w:rPr>
            <w:noProof/>
            <w:webHidden/>
          </w:rPr>
          <w:t>36</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74" w:history="1">
        <w:r w:rsidR="002B625C" w:rsidRPr="008C78DA">
          <w:rPr>
            <w:rStyle w:val="Hyperlink"/>
            <w:noProof/>
          </w:rPr>
          <w:t>6.3.2.</w:t>
        </w:r>
        <w:r w:rsidR="002B625C">
          <w:rPr>
            <w:rFonts w:asciiTheme="minorHAnsi" w:eastAsiaTheme="minorEastAsia" w:hAnsiTheme="minorHAnsi" w:cstheme="minorBidi"/>
            <w:noProof/>
          </w:rPr>
          <w:tab/>
        </w:r>
        <w:r w:rsidR="002B625C" w:rsidRPr="008C78DA">
          <w:rPr>
            <w:rStyle w:val="Hyperlink"/>
            <w:noProof/>
          </w:rPr>
          <w:t>Politike i mjere za niskougljični razvoj</w:t>
        </w:r>
        <w:r w:rsidR="002B625C">
          <w:rPr>
            <w:noProof/>
            <w:webHidden/>
          </w:rPr>
          <w:tab/>
        </w:r>
        <w:r w:rsidR="002B625C">
          <w:rPr>
            <w:noProof/>
            <w:webHidden/>
          </w:rPr>
          <w:fldChar w:fldCharType="begin"/>
        </w:r>
        <w:r w:rsidR="002B625C">
          <w:rPr>
            <w:noProof/>
            <w:webHidden/>
          </w:rPr>
          <w:instrText xml:space="preserve"> PAGEREF _Toc69810174 \h </w:instrText>
        </w:r>
        <w:r w:rsidR="002B625C">
          <w:rPr>
            <w:noProof/>
            <w:webHidden/>
          </w:rPr>
        </w:r>
        <w:r w:rsidR="002B625C">
          <w:rPr>
            <w:noProof/>
            <w:webHidden/>
          </w:rPr>
          <w:fldChar w:fldCharType="separate"/>
        </w:r>
        <w:r>
          <w:rPr>
            <w:noProof/>
            <w:webHidden/>
          </w:rPr>
          <w:t>36</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75" w:history="1">
        <w:r w:rsidR="002B625C" w:rsidRPr="008C78DA">
          <w:rPr>
            <w:rStyle w:val="Hyperlink"/>
            <w:noProof/>
          </w:rPr>
          <w:t>6.3.3.</w:t>
        </w:r>
        <w:r w:rsidR="002B625C">
          <w:rPr>
            <w:rFonts w:asciiTheme="minorHAnsi" w:eastAsiaTheme="minorEastAsia" w:hAnsiTheme="minorHAnsi" w:cstheme="minorBidi"/>
            <w:noProof/>
          </w:rPr>
          <w:tab/>
        </w:r>
        <w:r w:rsidR="002B625C" w:rsidRPr="008C78DA">
          <w:rPr>
            <w:rStyle w:val="Hyperlink"/>
            <w:noProof/>
          </w:rPr>
          <w:t>Smjernice za niskougljični razvoj</w:t>
        </w:r>
        <w:r w:rsidR="002B625C">
          <w:rPr>
            <w:noProof/>
            <w:webHidden/>
          </w:rPr>
          <w:tab/>
        </w:r>
        <w:r w:rsidR="002B625C">
          <w:rPr>
            <w:noProof/>
            <w:webHidden/>
          </w:rPr>
          <w:fldChar w:fldCharType="begin"/>
        </w:r>
        <w:r w:rsidR="002B625C">
          <w:rPr>
            <w:noProof/>
            <w:webHidden/>
          </w:rPr>
          <w:instrText xml:space="preserve"> PAGEREF _Toc69810175 \h </w:instrText>
        </w:r>
        <w:r w:rsidR="002B625C">
          <w:rPr>
            <w:noProof/>
            <w:webHidden/>
          </w:rPr>
        </w:r>
        <w:r w:rsidR="002B625C">
          <w:rPr>
            <w:noProof/>
            <w:webHidden/>
          </w:rPr>
          <w:fldChar w:fldCharType="separate"/>
        </w:r>
        <w:r>
          <w:rPr>
            <w:noProof/>
            <w:webHidden/>
          </w:rPr>
          <w:t>37</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76" w:history="1">
        <w:r w:rsidR="002B625C" w:rsidRPr="008C78DA">
          <w:rPr>
            <w:rStyle w:val="Hyperlink"/>
            <w:rFonts w:cs="Times New Roman"/>
            <w:noProof/>
          </w:rPr>
          <w:t>6.4.</w:t>
        </w:r>
        <w:r w:rsidR="002B625C">
          <w:rPr>
            <w:rFonts w:asciiTheme="minorHAnsi" w:eastAsiaTheme="minorEastAsia" w:hAnsiTheme="minorHAnsi" w:cstheme="minorBidi"/>
            <w:noProof/>
          </w:rPr>
          <w:tab/>
        </w:r>
        <w:r w:rsidR="002B625C" w:rsidRPr="008C78DA">
          <w:rPr>
            <w:rStyle w:val="Hyperlink"/>
            <w:rFonts w:cs="Times New Roman"/>
            <w:noProof/>
          </w:rPr>
          <w:t>SEKTOR OPĆE POTROŠNJE</w:t>
        </w:r>
        <w:r w:rsidR="002B625C">
          <w:rPr>
            <w:noProof/>
            <w:webHidden/>
          </w:rPr>
          <w:tab/>
        </w:r>
        <w:r w:rsidR="002B625C">
          <w:rPr>
            <w:noProof/>
            <w:webHidden/>
          </w:rPr>
          <w:fldChar w:fldCharType="begin"/>
        </w:r>
        <w:r w:rsidR="002B625C">
          <w:rPr>
            <w:noProof/>
            <w:webHidden/>
          </w:rPr>
          <w:instrText xml:space="preserve"> PAGEREF _Toc69810176 \h </w:instrText>
        </w:r>
        <w:r w:rsidR="002B625C">
          <w:rPr>
            <w:noProof/>
            <w:webHidden/>
          </w:rPr>
        </w:r>
        <w:r w:rsidR="002B625C">
          <w:rPr>
            <w:noProof/>
            <w:webHidden/>
          </w:rPr>
          <w:fldChar w:fldCharType="separate"/>
        </w:r>
        <w:r>
          <w:rPr>
            <w:noProof/>
            <w:webHidden/>
          </w:rPr>
          <w:t>38</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77" w:history="1">
        <w:r w:rsidR="002B625C" w:rsidRPr="008C78DA">
          <w:rPr>
            <w:rStyle w:val="Hyperlink"/>
            <w:noProof/>
          </w:rPr>
          <w:t>6.4.1.</w:t>
        </w:r>
        <w:r w:rsidR="002B625C">
          <w:rPr>
            <w:rFonts w:asciiTheme="minorHAnsi" w:eastAsiaTheme="minorEastAsia" w:hAnsiTheme="minorHAnsi" w:cstheme="minorBidi"/>
            <w:noProof/>
          </w:rPr>
          <w:tab/>
        </w:r>
        <w:r w:rsidR="002B625C" w:rsidRPr="008C78DA">
          <w:rPr>
            <w:rStyle w:val="Hyperlink"/>
            <w:noProof/>
          </w:rPr>
          <w:t>Emisije stakleničkih plinova</w:t>
        </w:r>
        <w:r w:rsidR="002B625C">
          <w:rPr>
            <w:noProof/>
            <w:webHidden/>
          </w:rPr>
          <w:tab/>
        </w:r>
        <w:r w:rsidR="002B625C">
          <w:rPr>
            <w:noProof/>
            <w:webHidden/>
          </w:rPr>
          <w:fldChar w:fldCharType="begin"/>
        </w:r>
        <w:r w:rsidR="002B625C">
          <w:rPr>
            <w:noProof/>
            <w:webHidden/>
          </w:rPr>
          <w:instrText xml:space="preserve"> PAGEREF _Toc69810177 \h </w:instrText>
        </w:r>
        <w:r w:rsidR="002B625C">
          <w:rPr>
            <w:noProof/>
            <w:webHidden/>
          </w:rPr>
        </w:r>
        <w:r w:rsidR="002B625C">
          <w:rPr>
            <w:noProof/>
            <w:webHidden/>
          </w:rPr>
          <w:fldChar w:fldCharType="separate"/>
        </w:r>
        <w:r>
          <w:rPr>
            <w:noProof/>
            <w:webHidden/>
          </w:rPr>
          <w:t>38</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78" w:history="1">
        <w:r w:rsidR="002B625C" w:rsidRPr="008C78DA">
          <w:rPr>
            <w:rStyle w:val="Hyperlink"/>
            <w:noProof/>
          </w:rPr>
          <w:t>6.4.2. Politike i mjere za niskougljični razvoj</w:t>
        </w:r>
        <w:r w:rsidR="002B625C">
          <w:rPr>
            <w:noProof/>
            <w:webHidden/>
          </w:rPr>
          <w:tab/>
        </w:r>
        <w:r w:rsidR="002B625C">
          <w:rPr>
            <w:noProof/>
            <w:webHidden/>
          </w:rPr>
          <w:fldChar w:fldCharType="begin"/>
        </w:r>
        <w:r w:rsidR="002B625C">
          <w:rPr>
            <w:noProof/>
            <w:webHidden/>
          </w:rPr>
          <w:instrText xml:space="preserve"> PAGEREF _Toc69810178 \h </w:instrText>
        </w:r>
        <w:r w:rsidR="002B625C">
          <w:rPr>
            <w:noProof/>
            <w:webHidden/>
          </w:rPr>
        </w:r>
        <w:r w:rsidR="002B625C">
          <w:rPr>
            <w:noProof/>
            <w:webHidden/>
          </w:rPr>
          <w:fldChar w:fldCharType="separate"/>
        </w:r>
        <w:r>
          <w:rPr>
            <w:noProof/>
            <w:webHidden/>
          </w:rPr>
          <w:t>39</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79" w:history="1">
        <w:r w:rsidR="002B625C" w:rsidRPr="008C78DA">
          <w:rPr>
            <w:rStyle w:val="Hyperlink"/>
            <w:noProof/>
          </w:rPr>
          <w:t>6.4.3. Smjernice za niskougljični razvoj</w:t>
        </w:r>
        <w:r w:rsidR="002B625C">
          <w:rPr>
            <w:noProof/>
            <w:webHidden/>
          </w:rPr>
          <w:tab/>
        </w:r>
        <w:r w:rsidR="002B625C">
          <w:rPr>
            <w:noProof/>
            <w:webHidden/>
          </w:rPr>
          <w:fldChar w:fldCharType="begin"/>
        </w:r>
        <w:r w:rsidR="002B625C">
          <w:rPr>
            <w:noProof/>
            <w:webHidden/>
          </w:rPr>
          <w:instrText xml:space="preserve"> PAGEREF _Toc69810179 \h </w:instrText>
        </w:r>
        <w:r w:rsidR="002B625C">
          <w:rPr>
            <w:noProof/>
            <w:webHidden/>
          </w:rPr>
        </w:r>
        <w:r w:rsidR="002B625C">
          <w:rPr>
            <w:noProof/>
            <w:webHidden/>
          </w:rPr>
          <w:fldChar w:fldCharType="separate"/>
        </w:r>
        <w:r>
          <w:rPr>
            <w:noProof/>
            <w:webHidden/>
          </w:rPr>
          <w:t>40</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80" w:history="1">
        <w:r w:rsidR="002B625C" w:rsidRPr="008C78DA">
          <w:rPr>
            <w:rStyle w:val="Hyperlink"/>
            <w:rFonts w:cs="Times New Roman"/>
            <w:noProof/>
          </w:rPr>
          <w:t>6.5.</w:t>
        </w:r>
        <w:r w:rsidR="002B625C">
          <w:rPr>
            <w:rFonts w:asciiTheme="minorHAnsi" w:eastAsiaTheme="minorEastAsia" w:hAnsiTheme="minorHAnsi" w:cstheme="minorBidi"/>
            <w:noProof/>
          </w:rPr>
          <w:tab/>
        </w:r>
        <w:r w:rsidR="002B625C" w:rsidRPr="008C78DA">
          <w:rPr>
            <w:rStyle w:val="Hyperlink"/>
            <w:rFonts w:cs="Times New Roman"/>
            <w:noProof/>
          </w:rPr>
          <w:t>INDUSTRIJA</w:t>
        </w:r>
        <w:r w:rsidR="002B625C">
          <w:rPr>
            <w:noProof/>
            <w:webHidden/>
          </w:rPr>
          <w:tab/>
        </w:r>
        <w:r w:rsidR="002B625C">
          <w:rPr>
            <w:noProof/>
            <w:webHidden/>
          </w:rPr>
          <w:fldChar w:fldCharType="begin"/>
        </w:r>
        <w:r w:rsidR="002B625C">
          <w:rPr>
            <w:noProof/>
            <w:webHidden/>
          </w:rPr>
          <w:instrText xml:space="preserve"> PAGEREF _Toc69810180 \h </w:instrText>
        </w:r>
        <w:r w:rsidR="002B625C">
          <w:rPr>
            <w:noProof/>
            <w:webHidden/>
          </w:rPr>
        </w:r>
        <w:r w:rsidR="002B625C">
          <w:rPr>
            <w:noProof/>
            <w:webHidden/>
          </w:rPr>
          <w:fldChar w:fldCharType="separate"/>
        </w:r>
        <w:r>
          <w:rPr>
            <w:noProof/>
            <w:webHidden/>
          </w:rPr>
          <w:t>40</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81" w:history="1">
        <w:r w:rsidR="002B625C" w:rsidRPr="008C78DA">
          <w:rPr>
            <w:rStyle w:val="Hyperlink"/>
            <w:noProof/>
          </w:rPr>
          <w:t>6.5.1.</w:t>
        </w:r>
        <w:r w:rsidR="002B625C">
          <w:rPr>
            <w:rFonts w:asciiTheme="minorHAnsi" w:eastAsiaTheme="minorEastAsia" w:hAnsiTheme="minorHAnsi" w:cstheme="minorBidi"/>
            <w:noProof/>
          </w:rPr>
          <w:tab/>
        </w:r>
        <w:r w:rsidR="002B625C" w:rsidRPr="008C78DA">
          <w:rPr>
            <w:rStyle w:val="Hyperlink"/>
            <w:noProof/>
          </w:rPr>
          <w:t>Emisije stakleničkih plinova</w:t>
        </w:r>
        <w:r w:rsidR="002B625C">
          <w:rPr>
            <w:noProof/>
            <w:webHidden/>
          </w:rPr>
          <w:tab/>
        </w:r>
        <w:r w:rsidR="002B625C">
          <w:rPr>
            <w:noProof/>
            <w:webHidden/>
          </w:rPr>
          <w:fldChar w:fldCharType="begin"/>
        </w:r>
        <w:r w:rsidR="002B625C">
          <w:rPr>
            <w:noProof/>
            <w:webHidden/>
          </w:rPr>
          <w:instrText xml:space="preserve"> PAGEREF _Toc69810181 \h </w:instrText>
        </w:r>
        <w:r w:rsidR="002B625C">
          <w:rPr>
            <w:noProof/>
            <w:webHidden/>
          </w:rPr>
        </w:r>
        <w:r w:rsidR="002B625C">
          <w:rPr>
            <w:noProof/>
            <w:webHidden/>
          </w:rPr>
          <w:fldChar w:fldCharType="separate"/>
        </w:r>
        <w:r>
          <w:rPr>
            <w:noProof/>
            <w:webHidden/>
          </w:rPr>
          <w:t>40</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82" w:history="1">
        <w:r w:rsidR="002B625C" w:rsidRPr="008C78DA">
          <w:rPr>
            <w:rStyle w:val="Hyperlink"/>
            <w:noProof/>
          </w:rPr>
          <w:t>6.5.2.</w:t>
        </w:r>
        <w:r w:rsidR="002B625C">
          <w:rPr>
            <w:rFonts w:asciiTheme="minorHAnsi" w:eastAsiaTheme="minorEastAsia" w:hAnsiTheme="minorHAnsi" w:cstheme="minorBidi"/>
            <w:noProof/>
          </w:rPr>
          <w:tab/>
        </w:r>
        <w:r w:rsidR="002B625C" w:rsidRPr="008C78DA">
          <w:rPr>
            <w:rStyle w:val="Hyperlink"/>
            <w:noProof/>
          </w:rPr>
          <w:t>Politike i mjere za niskougljični razvoj</w:t>
        </w:r>
        <w:r w:rsidR="002B625C">
          <w:rPr>
            <w:noProof/>
            <w:webHidden/>
          </w:rPr>
          <w:tab/>
        </w:r>
        <w:r w:rsidR="002B625C">
          <w:rPr>
            <w:noProof/>
            <w:webHidden/>
          </w:rPr>
          <w:fldChar w:fldCharType="begin"/>
        </w:r>
        <w:r w:rsidR="002B625C">
          <w:rPr>
            <w:noProof/>
            <w:webHidden/>
          </w:rPr>
          <w:instrText xml:space="preserve"> PAGEREF _Toc69810182 \h </w:instrText>
        </w:r>
        <w:r w:rsidR="002B625C">
          <w:rPr>
            <w:noProof/>
            <w:webHidden/>
          </w:rPr>
        </w:r>
        <w:r w:rsidR="002B625C">
          <w:rPr>
            <w:noProof/>
            <w:webHidden/>
          </w:rPr>
          <w:fldChar w:fldCharType="separate"/>
        </w:r>
        <w:r>
          <w:rPr>
            <w:noProof/>
            <w:webHidden/>
          </w:rPr>
          <w:t>41</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83" w:history="1">
        <w:r w:rsidR="002B625C" w:rsidRPr="008C78DA">
          <w:rPr>
            <w:rStyle w:val="Hyperlink"/>
            <w:noProof/>
          </w:rPr>
          <w:t>6.5.3.</w:t>
        </w:r>
        <w:r w:rsidR="002B625C">
          <w:rPr>
            <w:rFonts w:asciiTheme="minorHAnsi" w:eastAsiaTheme="minorEastAsia" w:hAnsiTheme="minorHAnsi" w:cstheme="minorBidi"/>
            <w:noProof/>
          </w:rPr>
          <w:tab/>
        </w:r>
        <w:r w:rsidR="002B625C" w:rsidRPr="008C78DA">
          <w:rPr>
            <w:rStyle w:val="Hyperlink"/>
            <w:noProof/>
          </w:rPr>
          <w:t>Smjernice za niskougljični razvoj</w:t>
        </w:r>
        <w:r w:rsidR="002B625C">
          <w:rPr>
            <w:noProof/>
            <w:webHidden/>
          </w:rPr>
          <w:tab/>
        </w:r>
        <w:r w:rsidR="002B625C">
          <w:rPr>
            <w:noProof/>
            <w:webHidden/>
          </w:rPr>
          <w:fldChar w:fldCharType="begin"/>
        </w:r>
        <w:r w:rsidR="002B625C">
          <w:rPr>
            <w:noProof/>
            <w:webHidden/>
          </w:rPr>
          <w:instrText xml:space="preserve"> PAGEREF _Toc69810183 \h </w:instrText>
        </w:r>
        <w:r w:rsidR="002B625C">
          <w:rPr>
            <w:noProof/>
            <w:webHidden/>
          </w:rPr>
        </w:r>
        <w:r w:rsidR="002B625C">
          <w:rPr>
            <w:noProof/>
            <w:webHidden/>
          </w:rPr>
          <w:fldChar w:fldCharType="separate"/>
        </w:r>
        <w:r>
          <w:rPr>
            <w:noProof/>
            <w:webHidden/>
          </w:rPr>
          <w:t>42</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84" w:history="1">
        <w:r w:rsidR="002B625C" w:rsidRPr="008C78DA">
          <w:rPr>
            <w:rStyle w:val="Hyperlink"/>
            <w:rFonts w:cs="Times New Roman"/>
            <w:noProof/>
          </w:rPr>
          <w:t xml:space="preserve">6.6. </w:t>
        </w:r>
        <w:r w:rsidR="002B625C">
          <w:rPr>
            <w:rFonts w:asciiTheme="minorHAnsi" w:eastAsiaTheme="minorEastAsia" w:hAnsiTheme="minorHAnsi" w:cstheme="minorBidi"/>
            <w:noProof/>
          </w:rPr>
          <w:tab/>
        </w:r>
        <w:r w:rsidR="002B625C" w:rsidRPr="008C78DA">
          <w:rPr>
            <w:rStyle w:val="Hyperlink"/>
            <w:rFonts w:cs="Times New Roman"/>
            <w:noProof/>
          </w:rPr>
          <w:t>POLJOPRIVREDA</w:t>
        </w:r>
        <w:r w:rsidR="002B625C">
          <w:rPr>
            <w:noProof/>
            <w:webHidden/>
          </w:rPr>
          <w:tab/>
        </w:r>
        <w:r w:rsidR="002B625C">
          <w:rPr>
            <w:noProof/>
            <w:webHidden/>
          </w:rPr>
          <w:fldChar w:fldCharType="begin"/>
        </w:r>
        <w:r w:rsidR="002B625C">
          <w:rPr>
            <w:noProof/>
            <w:webHidden/>
          </w:rPr>
          <w:instrText xml:space="preserve"> PAGEREF _Toc69810184 \h </w:instrText>
        </w:r>
        <w:r w:rsidR="002B625C">
          <w:rPr>
            <w:noProof/>
            <w:webHidden/>
          </w:rPr>
        </w:r>
        <w:r w:rsidR="002B625C">
          <w:rPr>
            <w:noProof/>
            <w:webHidden/>
          </w:rPr>
          <w:fldChar w:fldCharType="separate"/>
        </w:r>
        <w:r>
          <w:rPr>
            <w:noProof/>
            <w:webHidden/>
          </w:rPr>
          <w:t>43</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85" w:history="1">
        <w:r w:rsidR="002B625C" w:rsidRPr="008C78DA">
          <w:rPr>
            <w:rStyle w:val="Hyperlink"/>
            <w:noProof/>
          </w:rPr>
          <w:t>6.6.1. Emisije stakleničkih plinova</w:t>
        </w:r>
        <w:r w:rsidR="002B625C">
          <w:rPr>
            <w:noProof/>
            <w:webHidden/>
          </w:rPr>
          <w:tab/>
        </w:r>
        <w:r w:rsidR="002B625C">
          <w:rPr>
            <w:noProof/>
            <w:webHidden/>
          </w:rPr>
          <w:fldChar w:fldCharType="begin"/>
        </w:r>
        <w:r w:rsidR="002B625C">
          <w:rPr>
            <w:noProof/>
            <w:webHidden/>
          </w:rPr>
          <w:instrText xml:space="preserve"> PAGEREF _Toc69810185 \h </w:instrText>
        </w:r>
        <w:r w:rsidR="002B625C">
          <w:rPr>
            <w:noProof/>
            <w:webHidden/>
          </w:rPr>
        </w:r>
        <w:r w:rsidR="002B625C">
          <w:rPr>
            <w:noProof/>
            <w:webHidden/>
          </w:rPr>
          <w:fldChar w:fldCharType="separate"/>
        </w:r>
        <w:r>
          <w:rPr>
            <w:noProof/>
            <w:webHidden/>
          </w:rPr>
          <w:t>43</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86" w:history="1">
        <w:r w:rsidR="002B625C" w:rsidRPr="008C78DA">
          <w:rPr>
            <w:rStyle w:val="Hyperlink"/>
            <w:noProof/>
          </w:rPr>
          <w:t>6.6.2. Politike i mjere za niskougljični razvoj</w:t>
        </w:r>
        <w:r w:rsidR="002B625C">
          <w:rPr>
            <w:noProof/>
            <w:webHidden/>
          </w:rPr>
          <w:tab/>
        </w:r>
        <w:r w:rsidR="002B625C">
          <w:rPr>
            <w:noProof/>
            <w:webHidden/>
          </w:rPr>
          <w:fldChar w:fldCharType="begin"/>
        </w:r>
        <w:r w:rsidR="002B625C">
          <w:rPr>
            <w:noProof/>
            <w:webHidden/>
          </w:rPr>
          <w:instrText xml:space="preserve"> PAGEREF _Toc69810186 \h </w:instrText>
        </w:r>
        <w:r w:rsidR="002B625C">
          <w:rPr>
            <w:noProof/>
            <w:webHidden/>
          </w:rPr>
        </w:r>
        <w:r w:rsidR="002B625C">
          <w:rPr>
            <w:noProof/>
            <w:webHidden/>
          </w:rPr>
          <w:fldChar w:fldCharType="separate"/>
        </w:r>
        <w:r>
          <w:rPr>
            <w:noProof/>
            <w:webHidden/>
          </w:rPr>
          <w:t>43</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87" w:history="1">
        <w:r w:rsidR="002B625C" w:rsidRPr="008C78DA">
          <w:rPr>
            <w:rStyle w:val="Hyperlink"/>
            <w:noProof/>
          </w:rPr>
          <w:t>6.6.3. Smjernice za niskougljični razvoj</w:t>
        </w:r>
        <w:r w:rsidR="002B625C">
          <w:rPr>
            <w:noProof/>
            <w:webHidden/>
          </w:rPr>
          <w:tab/>
        </w:r>
        <w:r w:rsidR="002B625C">
          <w:rPr>
            <w:noProof/>
            <w:webHidden/>
          </w:rPr>
          <w:fldChar w:fldCharType="begin"/>
        </w:r>
        <w:r w:rsidR="002B625C">
          <w:rPr>
            <w:noProof/>
            <w:webHidden/>
          </w:rPr>
          <w:instrText xml:space="preserve"> PAGEREF _Toc69810187 \h </w:instrText>
        </w:r>
        <w:r w:rsidR="002B625C">
          <w:rPr>
            <w:noProof/>
            <w:webHidden/>
          </w:rPr>
        </w:r>
        <w:r w:rsidR="002B625C">
          <w:rPr>
            <w:noProof/>
            <w:webHidden/>
          </w:rPr>
          <w:fldChar w:fldCharType="separate"/>
        </w:r>
        <w:r>
          <w:rPr>
            <w:noProof/>
            <w:webHidden/>
          </w:rPr>
          <w:t>44</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88" w:history="1">
        <w:r w:rsidR="002B625C" w:rsidRPr="008C78DA">
          <w:rPr>
            <w:rStyle w:val="Hyperlink"/>
            <w:rFonts w:cs="Times New Roman"/>
            <w:noProof/>
          </w:rPr>
          <w:t xml:space="preserve">6.7. </w:t>
        </w:r>
        <w:r w:rsidR="002B625C">
          <w:rPr>
            <w:rFonts w:asciiTheme="minorHAnsi" w:eastAsiaTheme="minorEastAsia" w:hAnsiTheme="minorHAnsi" w:cstheme="minorBidi"/>
            <w:noProof/>
          </w:rPr>
          <w:tab/>
        </w:r>
        <w:r w:rsidR="002B625C" w:rsidRPr="008C78DA">
          <w:rPr>
            <w:rStyle w:val="Hyperlink"/>
            <w:rFonts w:cs="Times New Roman"/>
            <w:noProof/>
          </w:rPr>
          <w:t>OTPAD</w:t>
        </w:r>
        <w:r w:rsidR="002B625C">
          <w:rPr>
            <w:noProof/>
            <w:webHidden/>
          </w:rPr>
          <w:tab/>
        </w:r>
        <w:r w:rsidR="002B625C">
          <w:rPr>
            <w:noProof/>
            <w:webHidden/>
          </w:rPr>
          <w:fldChar w:fldCharType="begin"/>
        </w:r>
        <w:r w:rsidR="002B625C">
          <w:rPr>
            <w:noProof/>
            <w:webHidden/>
          </w:rPr>
          <w:instrText xml:space="preserve"> PAGEREF _Toc69810188 \h </w:instrText>
        </w:r>
        <w:r w:rsidR="002B625C">
          <w:rPr>
            <w:noProof/>
            <w:webHidden/>
          </w:rPr>
        </w:r>
        <w:r w:rsidR="002B625C">
          <w:rPr>
            <w:noProof/>
            <w:webHidden/>
          </w:rPr>
          <w:fldChar w:fldCharType="separate"/>
        </w:r>
        <w:r>
          <w:rPr>
            <w:noProof/>
            <w:webHidden/>
          </w:rPr>
          <w:t>46</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89" w:history="1">
        <w:r w:rsidR="002B625C" w:rsidRPr="008C78DA">
          <w:rPr>
            <w:rStyle w:val="Hyperlink"/>
            <w:noProof/>
          </w:rPr>
          <w:t>6.7.1. Emisije stakleničkih plinova</w:t>
        </w:r>
        <w:r w:rsidR="002B625C">
          <w:rPr>
            <w:noProof/>
            <w:webHidden/>
          </w:rPr>
          <w:tab/>
        </w:r>
        <w:r w:rsidR="002B625C">
          <w:rPr>
            <w:noProof/>
            <w:webHidden/>
          </w:rPr>
          <w:fldChar w:fldCharType="begin"/>
        </w:r>
        <w:r w:rsidR="002B625C">
          <w:rPr>
            <w:noProof/>
            <w:webHidden/>
          </w:rPr>
          <w:instrText xml:space="preserve"> PAGEREF _Toc69810189 \h </w:instrText>
        </w:r>
        <w:r w:rsidR="002B625C">
          <w:rPr>
            <w:noProof/>
            <w:webHidden/>
          </w:rPr>
        </w:r>
        <w:r w:rsidR="002B625C">
          <w:rPr>
            <w:noProof/>
            <w:webHidden/>
          </w:rPr>
          <w:fldChar w:fldCharType="separate"/>
        </w:r>
        <w:r>
          <w:rPr>
            <w:noProof/>
            <w:webHidden/>
          </w:rPr>
          <w:t>46</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90" w:history="1">
        <w:r w:rsidR="002B625C" w:rsidRPr="008C78DA">
          <w:rPr>
            <w:rStyle w:val="Hyperlink"/>
            <w:noProof/>
          </w:rPr>
          <w:t>6.7.2. Politike i mjere za niskougljični razvoj</w:t>
        </w:r>
        <w:r w:rsidR="002B625C">
          <w:rPr>
            <w:noProof/>
            <w:webHidden/>
          </w:rPr>
          <w:tab/>
        </w:r>
        <w:r w:rsidR="002B625C">
          <w:rPr>
            <w:noProof/>
            <w:webHidden/>
          </w:rPr>
          <w:fldChar w:fldCharType="begin"/>
        </w:r>
        <w:r w:rsidR="002B625C">
          <w:rPr>
            <w:noProof/>
            <w:webHidden/>
          </w:rPr>
          <w:instrText xml:space="preserve"> PAGEREF _Toc69810190 \h </w:instrText>
        </w:r>
        <w:r w:rsidR="002B625C">
          <w:rPr>
            <w:noProof/>
            <w:webHidden/>
          </w:rPr>
        </w:r>
        <w:r w:rsidR="002B625C">
          <w:rPr>
            <w:noProof/>
            <w:webHidden/>
          </w:rPr>
          <w:fldChar w:fldCharType="separate"/>
        </w:r>
        <w:r>
          <w:rPr>
            <w:noProof/>
            <w:webHidden/>
          </w:rPr>
          <w:t>46</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91" w:history="1">
        <w:r w:rsidR="002B625C" w:rsidRPr="008C78DA">
          <w:rPr>
            <w:rStyle w:val="Hyperlink"/>
            <w:noProof/>
          </w:rPr>
          <w:t>6.7.3. Smjernice za niskougljični razvoj</w:t>
        </w:r>
        <w:r w:rsidR="002B625C">
          <w:rPr>
            <w:noProof/>
            <w:webHidden/>
          </w:rPr>
          <w:tab/>
        </w:r>
        <w:r w:rsidR="002B625C">
          <w:rPr>
            <w:noProof/>
            <w:webHidden/>
          </w:rPr>
          <w:fldChar w:fldCharType="begin"/>
        </w:r>
        <w:r w:rsidR="002B625C">
          <w:rPr>
            <w:noProof/>
            <w:webHidden/>
          </w:rPr>
          <w:instrText xml:space="preserve"> PAGEREF _Toc69810191 \h </w:instrText>
        </w:r>
        <w:r w:rsidR="002B625C">
          <w:rPr>
            <w:noProof/>
            <w:webHidden/>
          </w:rPr>
        </w:r>
        <w:r w:rsidR="002B625C">
          <w:rPr>
            <w:noProof/>
            <w:webHidden/>
          </w:rPr>
          <w:fldChar w:fldCharType="separate"/>
        </w:r>
        <w:r>
          <w:rPr>
            <w:noProof/>
            <w:webHidden/>
          </w:rPr>
          <w:t>47</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92" w:history="1">
        <w:r w:rsidR="002B625C" w:rsidRPr="008C78DA">
          <w:rPr>
            <w:rStyle w:val="Hyperlink"/>
            <w:rFonts w:cs="Times New Roman"/>
            <w:noProof/>
          </w:rPr>
          <w:t xml:space="preserve">6.8. </w:t>
        </w:r>
        <w:r w:rsidR="002B625C">
          <w:rPr>
            <w:rFonts w:asciiTheme="minorHAnsi" w:eastAsiaTheme="minorEastAsia" w:hAnsiTheme="minorHAnsi" w:cstheme="minorBidi"/>
            <w:noProof/>
          </w:rPr>
          <w:tab/>
        </w:r>
        <w:r w:rsidR="002B625C" w:rsidRPr="008C78DA">
          <w:rPr>
            <w:rStyle w:val="Hyperlink"/>
            <w:rFonts w:cs="Times New Roman"/>
            <w:noProof/>
          </w:rPr>
          <w:t>Korištenje zemljišta, prenamjena u korištenju zemljišta i šumarstvo (LULUCF)</w:t>
        </w:r>
        <w:r w:rsidR="002B625C">
          <w:rPr>
            <w:noProof/>
            <w:webHidden/>
          </w:rPr>
          <w:tab/>
        </w:r>
        <w:r w:rsidR="002B625C">
          <w:rPr>
            <w:noProof/>
            <w:webHidden/>
          </w:rPr>
          <w:fldChar w:fldCharType="begin"/>
        </w:r>
        <w:r w:rsidR="002B625C">
          <w:rPr>
            <w:noProof/>
            <w:webHidden/>
          </w:rPr>
          <w:instrText xml:space="preserve"> PAGEREF _Toc69810192 \h </w:instrText>
        </w:r>
        <w:r w:rsidR="002B625C">
          <w:rPr>
            <w:noProof/>
            <w:webHidden/>
          </w:rPr>
        </w:r>
        <w:r w:rsidR="002B625C">
          <w:rPr>
            <w:noProof/>
            <w:webHidden/>
          </w:rPr>
          <w:fldChar w:fldCharType="separate"/>
        </w:r>
        <w:r>
          <w:rPr>
            <w:noProof/>
            <w:webHidden/>
          </w:rPr>
          <w:t>48</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93" w:history="1">
        <w:r w:rsidR="002B625C" w:rsidRPr="008C78DA">
          <w:rPr>
            <w:rStyle w:val="Hyperlink"/>
            <w:noProof/>
          </w:rPr>
          <w:t>6.8.1. Emisije ugljikova dioksida i ponori</w:t>
        </w:r>
        <w:r w:rsidR="002B625C">
          <w:rPr>
            <w:noProof/>
            <w:webHidden/>
          </w:rPr>
          <w:tab/>
        </w:r>
        <w:r w:rsidR="002B625C">
          <w:rPr>
            <w:noProof/>
            <w:webHidden/>
          </w:rPr>
          <w:fldChar w:fldCharType="begin"/>
        </w:r>
        <w:r w:rsidR="002B625C">
          <w:rPr>
            <w:noProof/>
            <w:webHidden/>
          </w:rPr>
          <w:instrText xml:space="preserve"> PAGEREF _Toc69810193 \h </w:instrText>
        </w:r>
        <w:r w:rsidR="002B625C">
          <w:rPr>
            <w:noProof/>
            <w:webHidden/>
          </w:rPr>
        </w:r>
        <w:r w:rsidR="002B625C">
          <w:rPr>
            <w:noProof/>
            <w:webHidden/>
          </w:rPr>
          <w:fldChar w:fldCharType="separate"/>
        </w:r>
        <w:r>
          <w:rPr>
            <w:noProof/>
            <w:webHidden/>
          </w:rPr>
          <w:t>48</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94" w:history="1">
        <w:r w:rsidR="002B625C" w:rsidRPr="008C78DA">
          <w:rPr>
            <w:rStyle w:val="Hyperlink"/>
            <w:noProof/>
          </w:rPr>
          <w:t>6.8.2. Politike i mjere za niskougljični razvoj</w:t>
        </w:r>
        <w:r w:rsidR="002B625C">
          <w:rPr>
            <w:noProof/>
            <w:webHidden/>
          </w:rPr>
          <w:tab/>
        </w:r>
        <w:r w:rsidR="002B625C">
          <w:rPr>
            <w:noProof/>
            <w:webHidden/>
          </w:rPr>
          <w:fldChar w:fldCharType="begin"/>
        </w:r>
        <w:r w:rsidR="002B625C">
          <w:rPr>
            <w:noProof/>
            <w:webHidden/>
          </w:rPr>
          <w:instrText xml:space="preserve"> PAGEREF _Toc69810194 \h </w:instrText>
        </w:r>
        <w:r w:rsidR="002B625C">
          <w:rPr>
            <w:noProof/>
            <w:webHidden/>
          </w:rPr>
        </w:r>
        <w:r w:rsidR="002B625C">
          <w:rPr>
            <w:noProof/>
            <w:webHidden/>
          </w:rPr>
          <w:fldChar w:fldCharType="separate"/>
        </w:r>
        <w:r>
          <w:rPr>
            <w:noProof/>
            <w:webHidden/>
          </w:rPr>
          <w:t>48</w:t>
        </w:r>
        <w:r w:rsidR="002B625C">
          <w:rPr>
            <w:noProof/>
            <w:webHidden/>
          </w:rPr>
          <w:fldChar w:fldCharType="end"/>
        </w:r>
      </w:hyperlink>
    </w:p>
    <w:p w:rsidR="002B625C" w:rsidRDefault="00847326">
      <w:pPr>
        <w:pStyle w:val="TOC3"/>
        <w:rPr>
          <w:rFonts w:asciiTheme="minorHAnsi" w:eastAsiaTheme="minorEastAsia" w:hAnsiTheme="minorHAnsi" w:cstheme="minorBidi"/>
          <w:noProof/>
        </w:rPr>
      </w:pPr>
      <w:hyperlink w:anchor="_Toc69810195" w:history="1">
        <w:r w:rsidR="002B625C" w:rsidRPr="008C78DA">
          <w:rPr>
            <w:rStyle w:val="Hyperlink"/>
            <w:noProof/>
          </w:rPr>
          <w:t>6.8.3. Smjernice za niskougljični razvoj</w:t>
        </w:r>
        <w:r w:rsidR="002B625C">
          <w:rPr>
            <w:noProof/>
            <w:webHidden/>
          </w:rPr>
          <w:tab/>
        </w:r>
        <w:r w:rsidR="002B625C">
          <w:rPr>
            <w:noProof/>
            <w:webHidden/>
          </w:rPr>
          <w:fldChar w:fldCharType="begin"/>
        </w:r>
        <w:r w:rsidR="002B625C">
          <w:rPr>
            <w:noProof/>
            <w:webHidden/>
          </w:rPr>
          <w:instrText xml:space="preserve"> PAGEREF _Toc69810195 \h </w:instrText>
        </w:r>
        <w:r w:rsidR="002B625C">
          <w:rPr>
            <w:noProof/>
            <w:webHidden/>
          </w:rPr>
        </w:r>
        <w:r w:rsidR="002B625C">
          <w:rPr>
            <w:noProof/>
            <w:webHidden/>
          </w:rPr>
          <w:fldChar w:fldCharType="separate"/>
        </w:r>
        <w:r>
          <w:rPr>
            <w:noProof/>
            <w:webHidden/>
          </w:rPr>
          <w:t>50</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196" w:history="1">
        <w:r w:rsidR="002B625C" w:rsidRPr="008C78DA">
          <w:rPr>
            <w:rStyle w:val="Hyperlink"/>
            <w:rFonts w:cs="Times New Roman"/>
            <w:noProof/>
          </w:rPr>
          <w:t xml:space="preserve">7. </w:t>
        </w:r>
        <w:r w:rsidR="002B625C">
          <w:rPr>
            <w:rFonts w:asciiTheme="minorHAnsi" w:eastAsiaTheme="minorEastAsia" w:hAnsiTheme="minorHAnsi" w:cstheme="minorBidi"/>
            <w:noProof/>
            <w:szCs w:val="22"/>
          </w:rPr>
          <w:tab/>
        </w:r>
        <w:r w:rsidR="002B625C" w:rsidRPr="008C78DA">
          <w:rPr>
            <w:rStyle w:val="Hyperlink"/>
            <w:rFonts w:cs="Times New Roman"/>
            <w:noProof/>
          </w:rPr>
          <w:t>FINANCIRANJE</w:t>
        </w:r>
        <w:r w:rsidR="002B625C">
          <w:rPr>
            <w:noProof/>
            <w:webHidden/>
          </w:rPr>
          <w:tab/>
        </w:r>
        <w:r w:rsidR="002B625C">
          <w:rPr>
            <w:noProof/>
            <w:webHidden/>
          </w:rPr>
          <w:fldChar w:fldCharType="begin"/>
        </w:r>
        <w:r w:rsidR="002B625C">
          <w:rPr>
            <w:noProof/>
            <w:webHidden/>
          </w:rPr>
          <w:instrText xml:space="preserve"> PAGEREF _Toc69810196 \h </w:instrText>
        </w:r>
        <w:r w:rsidR="002B625C">
          <w:rPr>
            <w:noProof/>
            <w:webHidden/>
          </w:rPr>
        </w:r>
        <w:r w:rsidR="002B625C">
          <w:rPr>
            <w:noProof/>
            <w:webHidden/>
          </w:rPr>
          <w:fldChar w:fldCharType="separate"/>
        </w:r>
        <w:r>
          <w:rPr>
            <w:noProof/>
            <w:webHidden/>
          </w:rPr>
          <w:t>52</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97" w:history="1">
        <w:r w:rsidR="002B625C" w:rsidRPr="008C78DA">
          <w:rPr>
            <w:rStyle w:val="Hyperlink"/>
            <w:rFonts w:cs="Times New Roman"/>
            <w:noProof/>
          </w:rPr>
          <w:t xml:space="preserve">7.1. </w:t>
        </w:r>
        <w:r w:rsidR="002B625C">
          <w:rPr>
            <w:rFonts w:asciiTheme="minorHAnsi" w:eastAsiaTheme="minorEastAsia" w:hAnsiTheme="minorHAnsi" w:cstheme="minorBidi"/>
            <w:noProof/>
          </w:rPr>
          <w:tab/>
        </w:r>
        <w:r w:rsidR="002B625C" w:rsidRPr="008C78DA">
          <w:rPr>
            <w:rStyle w:val="Hyperlink"/>
            <w:rFonts w:cs="Times New Roman"/>
            <w:noProof/>
          </w:rPr>
          <w:t>PROCJENA POTREBNIH ULAGANJA</w:t>
        </w:r>
        <w:r w:rsidR="002B625C">
          <w:rPr>
            <w:noProof/>
            <w:webHidden/>
          </w:rPr>
          <w:tab/>
        </w:r>
        <w:r w:rsidR="002B625C">
          <w:rPr>
            <w:noProof/>
            <w:webHidden/>
          </w:rPr>
          <w:fldChar w:fldCharType="begin"/>
        </w:r>
        <w:r w:rsidR="002B625C">
          <w:rPr>
            <w:noProof/>
            <w:webHidden/>
          </w:rPr>
          <w:instrText xml:space="preserve"> PAGEREF _Toc69810197 \h </w:instrText>
        </w:r>
        <w:r w:rsidR="002B625C">
          <w:rPr>
            <w:noProof/>
            <w:webHidden/>
          </w:rPr>
        </w:r>
        <w:r w:rsidR="002B625C">
          <w:rPr>
            <w:noProof/>
            <w:webHidden/>
          </w:rPr>
          <w:fldChar w:fldCharType="separate"/>
        </w:r>
        <w:r>
          <w:rPr>
            <w:noProof/>
            <w:webHidden/>
          </w:rPr>
          <w:t>52</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198" w:history="1">
        <w:r w:rsidR="002B625C" w:rsidRPr="008C78DA">
          <w:rPr>
            <w:rStyle w:val="Hyperlink"/>
            <w:rFonts w:cs="Times New Roman"/>
            <w:noProof/>
          </w:rPr>
          <w:t xml:space="preserve">7.2. </w:t>
        </w:r>
        <w:r w:rsidR="002B625C">
          <w:rPr>
            <w:rFonts w:asciiTheme="minorHAnsi" w:eastAsiaTheme="minorEastAsia" w:hAnsiTheme="minorHAnsi" w:cstheme="minorBidi"/>
            <w:noProof/>
          </w:rPr>
          <w:tab/>
        </w:r>
        <w:r w:rsidR="002B625C" w:rsidRPr="008C78DA">
          <w:rPr>
            <w:rStyle w:val="Hyperlink"/>
            <w:rFonts w:cs="Times New Roman"/>
            <w:noProof/>
          </w:rPr>
          <w:t>IZVORI FINANCIRANJA</w:t>
        </w:r>
        <w:r w:rsidR="002B625C">
          <w:rPr>
            <w:noProof/>
            <w:webHidden/>
          </w:rPr>
          <w:tab/>
        </w:r>
        <w:r w:rsidR="002B625C">
          <w:rPr>
            <w:noProof/>
            <w:webHidden/>
          </w:rPr>
          <w:fldChar w:fldCharType="begin"/>
        </w:r>
        <w:r w:rsidR="002B625C">
          <w:rPr>
            <w:noProof/>
            <w:webHidden/>
          </w:rPr>
          <w:instrText xml:space="preserve"> PAGEREF _Toc69810198 \h </w:instrText>
        </w:r>
        <w:r w:rsidR="002B625C">
          <w:rPr>
            <w:noProof/>
            <w:webHidden/>
          </w:rPr>
        </w:r>
        <w:r w:rsidR="002B625C">
          <w:rPr>
            <w:noProof/>
            <w:webHidden/>
          </w:rPr>
          <w:fldChar w:fldCharType="separate"/>
        </w:r>
        <w:r>
          <w:rPr>
            <w:noProof/>
            <w:webHidden/>
          </w:rPr>
          <w:t>53</w:t>
        </w:r>
        <w:r w:rsidR="002B625C">
          <w:rPr>
            <w:noProof/>
            <w:webHidden/>
          </w:rPr>
          <w:fldChar w:fldCharType="end"/>
        </w:r>
      </w:hyperlink>
    </w:p>
    <w:p w:rsidR="002B625C" w:rsidRDefault="00847326">
      <w:pPr>
        <w:pStyle w:val="TOC3"/>
        <w:tabs>
          <w:tab w:val="left" w:pos="1400"/>
        </w:tabs>
        <w:rPr>
          <w:rFonts w:asciiTheme="minorHAnsi" w:eastAsiaTheme="minorEastAsia" w:hAnsiTheme="minorHAnsi" w:cstheme="minorBidi"/>
          <w:noProof/>
        </w:rPr>
      </w:pPr>
      <w:hyperlink w:anchor="_Toc69810199" w:history="1">
        <w:r w:rsidR="002B625C" w:rsidRPr="008C78DA">
          <w:rPr>
            <w:rStyle w:val="Hyperlink"/>
            <w:noProof/>
          </w:rPr>
          <w:t xml:space="preserve">7.2.1. </w:t>
        </w:r>
        <w:r w:rsidR="002B625C">
          <w:rPr>
            <w:rFonts w:asciiTheme="minorHAnsi" w:eastAsiaTheme="minorEastAsia" w:hAnsiTheme="minorHAnsi" w:cstheme="minorBidi"/>
            <w:noProof/>
          </w:rPr>
          <w:tab/>
        </w:r>
        <w:r w:rsidR="002B625C" w:rsidRPr="008C78DA">
          <w:rPr>
            <w:rStyle w:val="Hyperlink"/>
            <w:noProof/>
          </w:rPr>
          <w:t>Nove financijske perspektive Europskog zelenog plana</w:t>
        </w:r>
        <w:r w:rsidR="002B625C">
          <w:rPr>
            <w:noProof/>
            <w:webHidden/>
          </w:rPr>
          <w:tab/>
        </w:r>
        <w:r w:rsidR="002B625C">
          <w:rPr>
            <w:noProof/>
            <w:webHidden/>
          </w:rPr>
          <w:fldChar w:fldCharType="begin"/>
        </w:r>
        <w:r w:rsidR="002B625C">
          <w:rPr>
            <w:noProof/>
            <w:webHidden/>
          </w:rPr>
          <w:instrText xml:space="preserve"> PAGEREF _Toc69810199 \h </w:instrText>
        </w:r>
        <w:r w:rsidR="002B625C">
          <w:rPr>
            <w:noProof/>
            <w:webHidden/>
          </w:rPr>
        </w:r>
        <w:r w:rsidR="002B625C">
          <w:rPr>
            <w:noProof/>
            <w:webHidden/>
          </w:rPr>
          <w:fldChar w:fldCharType="separate"/>
        </w:r>
        <w:r>
          <w:rPr>
            <w:noProof/>
            <w:webHidden/>
          </w:rPr>
          <w:t>57</w:t>
        </w:r>
        <w:r w:rsidR="002B625C">
          <w:rPr>
            <w:noProof/>
            <w:webHidden/>
          </w:rPr>
          <w:fldChar w:fldCharType="end"/>
        </w:r>
      </w:hyperlink>
    </w:p>
    <w:p w:rsidR="002B625C" w:rsidRDefault="00847326">
      <w:pPr>
        <w:pStyle w:val="TOC3"/>
        <w:tabs>
          <w:tab w:val="left" w:pos="1600"/>
        </w:tabs>
        <w:rPr>
          <w:rFonts w:asciiTheme="minorHAnsi" w:eastAsiaTheme="minorEastAsia" w:hAnsiTheme="minorHAnsi" w:cstheme="minorBidi"/>
          <w:noProof/>
        </w:rPr>
      </w:pPr>
      <w:hyperlink w:anchor="_Toc69810200" w:history="1">
        <w:r w:rsidR="002B625C" w:rsidRPr="008C78DA">
          <w:rPr>
            <w:rStyle w:val="Hyperlink"/>
            <w:noProof/>
          </w:rPr>
          <w:t xml:space="preserve">7.2.2. </w:t>
        </w:r>
        <w:r w:rsidR="002B625C">
          <w:rPr>
            <w:rFonts w:asciiTheme="minorHAnsi" w:eastAsiaTheme="minorEastAsia" w:hAnsiTheme="minorHAnsi" w:cstheme="minorBidi"/>
            <w:noProof/>
          </w:rPr>
          <w:tab/>
        </w:r>
        <w:r w:rsidR="002B625C" w:rsidRPr="008C78DA">
          <w:rPr>
            <w:rStyle w:val="Hyperlink"/>
            <w:noProof/>
          </w:rPr>
          <w:t>Sredstva vezano za solidarnu pomoć državama vezano za posljedice COVID-19 pandemije</w:t>
        </w:r>
        <w:r w:rsidR="002B625C">
          <w:rPr>
            <w:noProof/>
            <w:webHidden/>
          </w:rPr>
          <w:tab/>
        </w:r>
        <w:r w:rsidR="002B625C">
          <w:rPr>
            <w:noProof/>
            <w:webHidden/>
          </w:rPr>
          <w:fldChar w:fldCharType="begin"/>
        </w:r>
        <w:r w:rsidR="002B625C">
          <w:rPr>
            <w:noProof/>
            <w:webHidden/>
          </w:rPr>
          <w:instrText xml:space="preserve"> PAGEREF _Toc69810200 \h </w:instrText>
        </w:r>
        <w:r w:rsidR="002B625C">
          <w:rPr>
            <w:noProof/>
            <w:webHidden/>
          </w:rPr>
        </w:r>
        <w:r w:rsidR="002B625C">
          <w:rPr>
            <w:noProof/>
            <w:webHidden/>
          </w:rPr>
          <w:fldChar w:fldCharType="separate"/>
        </w:r>
        <w:r>
          <w:rPr>
            <w:noProof/>
            <w:webHidden/>
          </w:rPr>
          <w:t>59</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01" w:history="1">
        <w:r w:rsidR="002B625C" w:rsidRPr="008C78DA">
          <w:rPr>
            <w:rStyle w:val="Hyperlink"/>
            <w:rFonts w:cs="Times New Roman"/>
            <w:noProof/>
          </w:rPr>
          <w:t xml:space="preserve">8. </w:t>
        </w:r>
        <w:r w:rsidR="002B625C">
          <w:rPr>
            <w:rFonts w:asciiTheme="minorHAnsi" w:eastAsiaTheme="minorEastAsia" w:hAnsiTheme="minorHAnsi" w:cstheme="minorBidi"/>
            <w:noProof/>
            <w:szCs w:val="22"/>
          </w:rPr>
          <w:tab/>
        </w:r>
        <w:r w:rsidR="002B625C" w:rsidRPr="008C78DA">
          <w:rPr>
            <w:rStyle w:val="Hyperlink"/>
            <w:rFonts w:cs="Times New Roman"/>
            <w:noProof/>
          </w:rPr>
          <w:t>UTJECAJ SCENARIJA NA OKOLIŠ, GOSPODARSTVO I DRUŠTVO</w:t>
        </w:r>
        <w:r w:rsidR="002B625C">
          <w:rPr>
            <w:noProof/>
            <w:webHidden/>
          </w:rPr>
          <w:tab/>
        </w:r>
        <w:r w:rsidR="002B625C">
          <w:rPr>
            <w:noProof/>
            <w:webHidden/>
          </w:rPr>
          <w:fldChar w:fldCharType="begin"/>
        </w:r>
        <w:r w:rsidR="002B625C">
          <w:rPr>
            <w:noProof/>
            <w:webHidden/>
          </w:rPr>
          <w:instrText xml:space="preserve"> PAGEREF _Toc69810201 \h </w:instrText>
        </w:r>
        <w:r w:rsidR="002B625C">
          <w:rPr>
            <w:noProof/>
            <w:webHidden/>
          </w:rPr>
        </w:r>
        <w:r w:rsidR="002B625C">
          <w:rPr>
            <w:noProof/>
            <w:webHidden/>
          </w:rPr>
          <w:fldChar w:fldCharType="separate"/>
        </w:r>
        <w:r>
          <w:rPr>
            <w:noProof/>
            <w:webHidden/>
          </w:rPr>
          <w:t>59</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02" w:history="1">
        <w:r w:rsidR="002B625C" w:rsidRPr="008C78DA">
          <w:rPr>
            <w:rStyle w:val="Hyperlink"/>
            <w:rFonts w:cs="Times New Roman"/>
            <w:noProof/>
          </w:rPr>
          <w:t xml:space="preserve">8.1. </w:t>
        </w:r>
        <w:r w:rsidR="002B625C">
          <w:rPr>
            <w:rFonts w:asciiTheme="minorHAnsi" w:eastAsiaTheme="minorEastAsia" w:hAnsiTheme="minorHAnsi" w:cstheme="minorBidi"/>
            <w:noProof/>
          </w:rPr>
          <w:tab/>
        </w:r>
        <w:r w:rsidR="002B625C" w:rsidRPr="008C78DA">
          <w:rPr>
            <w:rStyle w:val="Hyperlink"/>
            <w:rFonts w:cs="Times New Roman"/>
            <w:noProof/>
          </w:rPr>
          <w:t>UTJECAJ NA OKOLIŠ I PRIRODU</w:t>
        </w:r>
        <w:r w:rsidR="002B625C">
          <w:rPr>
            <w:noProof/>
            <w:webHidden/>
          </w:rPr>
          <w:tab/>
        </w:r>
        <w:r w:rsidR="002B625C">
          <w:rPr>
            <w:noProof/>
            <w:webHidden/>
          </w:rPr>
          <w:fldChar w:fldCharType="begin"/>
        </w:r>
        <w:r w:rsidR="002B625C">
          <w:rPr>
            <w:noProof/>
            <w:webHidden/>
          </w:rPr>
          <w:instrText xml:space="preserve"> PAGEREF _Toc69810202 \h </w:instrText>
        </w:r>
        <w:r w:rsidR="002B625C">
          <w:rPr>
            <w:noProof/>
            <w:webHidden/>
          </w:rPr>
        </w:r>
        <w:r w:rsidR="002B625C">
          <w:rPr>
            <w:noProof/>
            <w:webHidden/>
          </w:rPr>
          <w:fldChar w:fldCharType="separate"/>
        </w:r>
        <w:r>
          <w:rPr>
            <w:noProof/>
            <w:webHidden/>
          </w:rPr>
          <w:t>59</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03" w:history="1">
        <w:r w:rsidR="002B625C" w:rsidRPr="008C78DA">
          <w:rPr>
            <w:rStyle w:val="Hyperlink"/>
            <w:rFonts w:cs="Times New Roman"/>
            <w:noProof/>
          </w:rPr>
          <w:t>8.2.</w:t>
        </w:r>
        <w:r w:rsidR="002B625C">
          <w:rPr>
            <w:rFonts w:asciiTheme="minorHAnsi" w:eastAsiaTheme="minorEastAsia" w:hAnsiTheme="minorHAnsi" w:cstheme="minorBidi"/>
            <w:noProof/>
          </w:rPr>
          <w:tab/>
        </w:r>
        <w:r w:rsidR="002B625C" w:rsidRPr="008C78DA">
          <w:rPr>
            <w:rStyle w:val="Hyperlink"/>
            <w:rFonts w:cs="Times New Roman"/>
            <w:noProof/>
          </w:rPr>
          <w:t>UTJECAJ NA GOSPODARSTVO</w:t>
        </w:r>
        <w:r w:rsidR="002B625C">
          <w:rPr>
            <w:noProof/>
            <w:webHidden/>
          </w:rPr>
          <w:tab/>
        </w:r>
        <w:r w:rsidR="002B625C">
          <w:rPr>
            <w:noProof/>
            <w:webHidden/>
          </w:rPr>
          <w:fldChar w:fldCharType="begin"/>
        </w:r>
        <w:r w:rsidR="002B625C">
          <w:rPr>
            <w:noProof/>
            <w:webHidden/>
          </w:rPr>
          <w:instrText xml:space="preserve"> PAGEREF _Toc69810203 \h </w:instrText>
        </w:r>
        <w:r w:rsidR="002B625C">
          <w:rPr>
            <w:noProof/>
            <w:webHidden/>
          </w:rPr>
        </w:r>
        <w:r w:rsidR="002B625C">
          <w:rPr>
            <w:noProof/>
            <w:webHidden/>
          </w:rPr>
          <w:fldChar w:fldCharType="separate"/>
        </w:r>
        <w:r>
          <w:rPr>
            <w:noProof/>
            <w:webHidden/>
          </w:rPr>
          <w:t>59</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04" w:history="1">
        <w:r w:rsidR="002B625C" w:rsidRPr="008C78DA">
          <w:rPr>
            <w:rStyle w:val="Hyperlink"/>
            <w:rFonts w:cs="Times New Roman"/>
            <w:noProof/>
          </w:rPr>
          <w:t>8.3.</w:t>
        </w:r>
        <w:r w:rsidR="002B625C">
          <w:rPr>
            <w:rFonts w:asciiTheme="minorHAnsi" w:eastAsiaTheme="minorEastAsia" w:hAnsiTheme="minorHAnsi" w:cstheme="minorBidi"/>
            <w:noProof/>
          </w:rPr>
          <w:tab/>
        </w:r>
        <w:r w:rsidR="002B625C" w:rsidRPr="008C78DA">
          <w:rPr>
            <w:rStyle w:val="Hyperlink"/>
            <w:rFonts w:cs="Times New Roman"/>
            <w:noProof/>
          </w:rPr>
          <w:t>UTJECAJ NA DRUŠTVO</w:t>
        </w:r>
        <w:r w:rsidR="002B625C">
          <w:rPr>
            <w:noProof/>
            <w:webHidden/>
          </w:rPr>
          <w:tab/>
        </w:r>
        <w:r w:rsidR="002B625C">
          <w:rPr>
            <w:noProof/>
            <w:webHidden/>
          </w:rPr>
          <w:fldChar w:fldCharType="begin"/>
        </w:r>
        <w:r w:rsidR="002B625C">
          <w:rPr>
            <w:noProof/>
            <w:webHidden/>
          </w:rPr>
          <w:instrText xml:space="preserve"> PAGEREF _Toc69810204 \h </w:instrText>
        </w:r>
        <w:r w:rsidR="002B625C">
          <w:rPr>
            <w:noProof/>
            <w:webHidden/>
          </w:rPr>
        </w:r>
        <w:r w:rsidR="002B625C">
          <w:rPr>
            <w:noProof/>
            <w:webHidden/>
          </w:rPr>
          <w:fldChar w:fldCharType="separate"/>
        </w:r>
        <w:r>
          <w:rPr>
            <w:noProof/>
            <w:webHidden/>
          </w:rPr>
          <w:t>61</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05" w:history="1">
        <w:r w:rsidR="002B625C" w:rsidRPr="008C78DA">
          <w:rPr>
            <w:rStyle w:val="Hyperlink"/>
            <w:rFonts w:cs="Times New Roman"/>
            <w:noProof/>
          </w:rPr>
          <w:t>8.4.</w:t>
        </w:r>
        <w:r w:rsidR="002B625C">
          <w:rPr>
            <w:rFonts w:asciiTheme="minorHAnsi" w:eastAsiaTheme="minorEastAsia" w:hAnsiTheme="minorHAnsi" w:cstheme="minorBidi"/>
            <w:noProof/>
          </w:rPr>
          <w:tab/>
        </w:r>
        <w:r w:rsidR="002B625C" w:rsidRPr="008C78DA">
          <w:rPr>
            <w:rStyle w:val="Hyperlink"/>
            <w:rFonts w:cs="Times New Roman"/>
            <w:noProof/>
          </w:rPr>
          <w:t>PROCJENA KORISTI NISKOUGLJIČNOG RAZVOJA</w:t>
        </w:r>
        <w:r w:rsidR="002B625C">
          <w:rPr>
            <w:noProof/>
            <w:webHidden/>
          </w:rPr>
          <w:tab/>
        </w:r>
        <w:r w:rsidR="002B625C">
          <w:rPr>
            <w:noProof/>
            <w:webHidden/>
          </w:rPr>
          <w:fldChar w:fldCharType="begin"/>
        </w:r>
        <w:r w:rsidR="002B625C">
          <w:rPr>
            <w:noProof/>
            <w:webHidden/>
          </w:rPr>
          <w:instrText xml:space="preserve"> PAGEREF _Toc69810205 \h </w:instrText>
        </w:r>
        <w:r w:rsidR="002B625C">
          <w:rPr>
            <w:noProof/>
            <w:webHidden/>
          </w:rPr>
        </w:r>
        <w:r w:rsidR="002B625C">
          <w:rPr>
            <w:noProof/>
            <w:webHidden/>
          </w:rPr>
          <w:fldChar w:fldCharType="separate"/>
        </w:r>
        <w:r>
          <w:rPr>
            <w:noProof/>
            <w:webHidden/>
          </w:rPr>
          <w:t>61</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06" w:history="1">
        <w:r w:rsidR="002B625C" w:rsidRPr="008C78DA">
          <w:rPr>
            <w:rStyle w:val="Hyperlink"/>
            <w:rFonts w:cs="Times New Roman"/>
            <w:noProof/>
          </w:rPr>
          <w:t xml:space="preserve">9. </w:t>
        </w:r>
        <w:r w:rsidR="002B625C">
          <w:rPr>
            <w:rFonts w:asciiTheme="minorHAnsi" w:eastAsiaTheme="minorEastAsia" w:hAnsiTheme="minorHAnsi" w:cstheme="minorBidi"/>
            <w:noProof/>
            <w:szCs w:val="22"/>
          </w:rPr>
          <w:tab/>
        </w:r>
        <w:r w:rsidR="002B625C" w:rsidRPr="008C78DA">
          <w:rPr>
            <w:rStyle w:val="Hyperlink"/>
            <w:rFonts w:cs="Times New Roman"/>
            <w:noProof/>
          </w:rPr>
          <w:t>OBRAZOVANJE I AKTIVNO UKLJUČIVANJE GRAĐANA U NISKOUGLJIČNI RAZVOJ</w:t>
        </w:r>
        <w:r w:rsidR="002B625C">
          <w:rPr>
            <w:noProof/>
            <w:webHidden/>
          </w:rPr>
          <w:tab/>
        </w:r>
        <w:r w:rsidR="002B625C">
          <w:rPr>
            <w:noProof/>
            <w:webHidden/>
          </w:rPr>
          <w:fldChar w:fldCharType="begin"/>
        </w:r>
        <w:r w:rsidR="002B625C">
          <w:rPr>
            <w:noProof/>
            <w:webHidden/>
          </w:rPr>
          <w:instrText xml:space="preserve"> PAGEREF _Toc69810206 \h </w:instrText>
        </w:r>
        <w:r w:rsidR="002B625C">
          <w:rPr>
            <w:noProof/>
            <w:webHidden/>
          </w:rPr>
        </w:r>
        <w:r w:rsidR="002B625C">
          <w:rPr>
            <w:noProof/>
            <w:webHidden/>
          </w:rPr>
          <w:fldChar w:fldCharType="separate"/>
        </w:r>
        <w:r>
          <w:rPr>
            <w:noProof/>
            <w:webHidden/>
          </w:rPr>
          <w:t>62</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07" w:history="1">
        <w:r w:rsidR="002B625C" w:rsidRPr="008C78DA">
          <w:rPr>
            <w:rStyle w:val="Hyperlink"/>
            <w:rFonts w:cs="Times New Roman"/>
            <w:noProof/>
          </w:rPr>
          <w:t>10.</w:t>
        </w:r>
        <w:r w:rsidR="002B625C">
          <w:rPr>
            <w:rFonts w:asciiTheme="minorHAnsi" w:eastAsiaTheme="minorEastAsia" w:hAnsiTheme="minorHAnsi" w:cstheme="minorBidi"/>
            <w:noProof/>
            <w:szCs w:val="22"/>
          </w:rPr>
          <w:tab/>
        </w:r>
        <w:r w:rsidR="002B625C" w:rsidRPr="008C78DA">
          <w:rPr>
            <w:rStyle w:val="Hyperlink"/>
            <w:rFonts w:cs="Times New Roman"/>
            <w:noProof/>
          </w:rPr>
          <w:t>ISTRAŽIVANJA, TEHNOLOŠKI RAZVOJ I INOVACIJE</w:t>
        </w:r>
        <w:r w:rsidR="002B625C">
          <w:rPr>
            <w:noProof/>
            <w:webHidden/>
          </w:rPr>
          <w:tab/>
        </w:r>
        <w:r w:rsidR="002B625C">
          <w:rPr>
            <w:noProof/>
            <w:webHidden/>
          </w:rPr>
          <w:fldChar w:fldCharType="begin"/>
        </w:r>
        <w:r w:rsidR="002B625C">
          <w:rPr>
            <w:noProof/>
            <w:webHidden/>
          </w:rPr>
          <w:instrText xml:space="preserve"> PAGEREF _Toc69810207 \h </w:instrText>
        </w:r>
        <w:r w:rsidR="002B625C">
          <w:rPr>
            <w:noProof/>
            <w:webHidden/>
          </w:rPr>
        </w:r>
        <w:r w:rsidR="002B625C">
          <w:rPr>
            <w:noProof/>
            <w:webHidden/>
          </w:rPr>
          <w:fldChar w:fldCharType="separate"/>
        </w:r>
        <w:r>
          <w:rPr>
            <w:noProof/>
            <w:webHidden/>
          </w:rPr>
          <w:t>64</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08" w:history="1">
        <w:r w:rsidR="002B625C" w:rsidRPr="008C78DA">
          <w:rPr>
            <w:rStyle w:val="Hyperlink"/>
            <w:rFonts w:cs="Times New Roman"/>
            <w:noProof/>
          </w:rPr>
          <w:t>11.</w:t>
        </w:r>
        <w:r w:rsidR="002B625C">
          <w:rPr>
            <w:rFonts w:asciiTheme="minorHAnsi" w:eastAsiaTheme="minorEastAsia" w:hAnsiTheme="minorHAnsi" w:cstheme="minorBidi"/>
            <w:noProof/>
            <w:szCs w:val="22"/>
          </w:rPr>
          <w:tab/>
        </w:r>
        <w:r w:rsidR="002B625C" w:rsidRPr="008C78DA">
          <w:rPr>
            <w:rStyle w:val="Hyperlink"/>
            <w:rFonts w:cs="Times New Roman"/>
            <w:noProof/>
          </w:rPr>
          <w:t>NISKOUGLJIČNI RAZVOJ NA LOKALNOJ I REGIONALNOJ RAZINI</w:t>
        </w:r>
        <w:r w:rsidR="002B625C">
          <w:rPr>
            <w:noProof/>
            <w:webHidden/>
          </w:rPr>
          <w:tab/>
        </w:r>
        <w:r w:rsidR="002B625C">
          <w:rPr>
            <w:noProof/>
            <w:webHidden/>
          </w:rPr>
          <w:fldChar w:fldCharType="begin"/>
        </w:r>
        <w:r w:rsidR="002B625C">
          <w:rPr>
            <w:noProof/>
            <w:webHidden/>
          </w:rPr>
          <w:instrText xml:space="preserve"> PAGEREF _Toc69810208 \h </w:instrText>
        </w:r>
        <w:r w:rsidR="002B625C">
          <w:rPr>
            <w:noProof/>
            <w:webHidden/>
          </w:rPr>
        </w:r>
        <w:r w:rsidR="002B625C">
          <w:rPr>
            <w:noProof/>
            <w:webHidden/>
          </w:rPr>
          <w:fldChar w:fldCharType="separate"/>
        </w:r>
        <w:r>
          <w:rPr>
            <w:noProof/>
            <w:webHidden/>
          </w:rPr>
          <w:t>66</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09" w:history="1">
        <w:r w:rsidR="002B625C" w:rsidRPr="008C78DA">
          <w:rPr>
            <w:rStyle w:val="Hyperlink"/>
            <w:rFonts w:cs="Times New Roman"/>
            <w:noProof/>
          </w:rPr>
          <w:t>12.</w:t>
        </w:r>
        <w:r w:rsidR="002B625C">
          <w:rPr>
            <w:rFonts w:asciiTheme="minorHAnsi" w:eastAsiaTheme="minorEastAsia" w:hAnsiTheme="minorHAnsi" w:cstheme="minorBidi"/>
            <w:noProof/>
            <w:szCs w:val="22"/>
          </w:rPr>
          <w:tab/>
        </w:r>
        <w:r w:rsidR="002B625C" w:rsidRPr="008C78DA">
          <w:rPr>
            <w:rStyle w:val="Hyperlink"/>
            <w:rFonts w:cs="Times New Roman"/>
            <w:noProof/>
          </w:rPr>
          <w:t>NISKOUGLJIČNO GOSPODARSTVO I OBRASCI POSLOVANJA</w:t>
        </w:r>
        <w:r w:rsidR="002B625C">
          <w:rPr>
            <w:noProof/>
            <w:webHidden/>
          </w:rPr>
          <w:tab/>
        </w:r>
        <w:r w:rsidR="002B625C">
          <w:rPr>
            <w:noProof/>
            <w:webHidden/>
          </w:rPr>
          <w:fldChar w:fldCharType="begin"/>
        </w:r>
        <w:r w:rsidR="002B625C">
          <w:rPr>
            <w:noProof/>
            <w:webHidden/>
          </w:rPr>
          <w:instrText xml:space="preserve"> PAGEREF _Toc69810209 \h </w:instrText>
        </w:r>
        <w:r w:rsidR="002B625C">
          <w:rPr>
            <w:noProof/>
            <w:webHidden/>
          </w:rPr>
        </w:r>
        <w:r w:rsidR="002B625C">
          <w:rPr>
            <w:noProof/>
            <w:webHidden/>
          </w:rPr>
          <w:fldChar w:fldCharType="separate"/>
        </w:r>
        <w:r>
          <w:rPr>
            <w:noProof/>
            <w:webHidden/>
          </w:rPr>
          <w:t>68</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10" w:history="1">
        <w:r w:rsidR="002B625C" w:rsidRPr="008C78DA">
          <w:rPr>
            <w:rStyle w:val="Hyperlink"/>
            <w:rFonts w:cs="Times New Roman"/>
            <w:noProof/>
          </w:rPr>
          <w:t>13.</w:t>
        </w:r>
        <w:r w:rsidR="002B625C">
          <w:rPr>
            <w:rFonts w:asciiTheme="minorHAnsi" w:eastAsiaTheme="minorEastAsia" w:hAnsiTheme="minorHAnsi" w:cstheme="minorBidi"/>
            <w:noProof/>
            <w:szCs w:val="22"/>
          </w:rPr>
          <w:tab/>
        </w:r>
        <w:r w:rsidR="002B625C" w:rsidRPr="008C78DA">
          <w:rPr>
            <w:rStyle w:val="Hyperlink"/>
            <w:rFonts w:cs="Times New Roman"/>
            <w:noProof/>
          </w:rPr>
          <w:t>MEĐUNARODNA SURADNJA</w:t>
        </w:r>
        <w:r w:rsidR="002B625C">
          <w:rPr>
            <w:noProof/>
            <w:webHidden/>
          </w:rPr>
          <w:tab/>
        </w:r>
        <w:r w:rsidR="002B625C">
          <w:rPr>
            <w:noProof/>
            <w:webHidden/>
          </w:rPr>
          <w:fldChar w:fldCharType="begin"/>
        </w:r>
        <w:r w:rsidR="002B625C">
          <w:rPr>
            <w:noProof/>
            <w:webHidden/>
          </w:rPr>
          <w:instrText xml:space="preserve"> PAGEREF _Toc69810210 \h </w:instrText>
        </w:r>
        <w:r w:rsidR="002B625C">
          <w:rPr>
            <w:noProof/>
            <w:webHidden/>
          </w:rPr>
        </w:r>
        <w:r w:rsidR="002B625C">
          <w:rPr>
            <w:noProof/>
            <w:webHidden/>
          </w:rPr>
          <w:fldChar w:fldCharType="separate"/>
        </w:r>
        <w:r>
          <w:rPr>
            <w:noProof/>
            <w:webHidden/>
          </w:rPr>
          <w:t>70</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11" w:history="1">
        <w:r w:rsidR="002B625C" w:rsidRPr="008C78DA">
          <w:rPr>
            <w:rStyle w:val="Hyperlink"/>
            <w:rFonts w:cs="Times New Roman"/>
            <w:noProof/>
          </w:rPr>
          <w:t>14.</w:t>
        </w:r>
        <w:r w:rsidR="002B625C">
          <w:rPr>
            <w:rFonts w:asciiTheme="minorHAnsi" w:eastAsiaTheme="minorEastAsia" w:hAnsiTheme="minorHAnsi" w:cstheme="minorBidi"/>
            <w:noProof/>
            <w:szCs w:val="22"/>
          </w:rPr>
          <w:tab/>
        </w:r>
        <w:r w:rsidR="002B625C" w:rsidRPr="008C78DA">
          <w:rPr>
            <w:rStyle w:val="Hyperlink"/>
            <w:rFonts w:cs="Times New Roman"/>
            <w:noProof/>
          </w:rPr>
          <w:t>PROVEDBA NISKOUGLJIČNE STRATEGIJE</w:t>
        </w:r>
        <w:r w:rsidR="002B625C">
          <w:rPr>
            <w:noProof/>
            <w:webHidden/>
          </w:rPr>
          <w:tab/>
        </w:r>
        <w:r w:rsidR="002B625C">
          <w:rPr>
            <w:noProof/>
            <w:webHidden/>
          </w:rPr>
          <w:fldChar w:fldCharType="begin"/>
        </w:r>
        <w:r w:rsidR="002B625C">
          <w:rPr>
            <w:noProof/>
            <w:webHidden/>
          </w:rPr>
          <w:instrText xml:space="preserve"> PAGEREF _Toc69810211 \h </w:instrText>
        </w:r>
        <w:r w:rsidR="002B625C">
          <w:rPr>
            <w:noProof/>
            <w:webHidden/>
          </w:rPr>
        </w:r>
        <w:r w:rsidR="002B625C">
          <w:rPr>
            <w:noProof/>
            <w:webHidden/>
          </w:rPr>
          <w:fldChar w:fldCharType="separate"/>
        </w:r>
        <w:r>
          <w:rPr>
            <w:noProof/>
            <w:webHidden/>
          </w:rPr>
          <w:t>70</w:t>
        </w:r>
        <w:r w:rsidR="002B625C">
          <w:rPr>
            <w:noProof/>
            <w:webHidden/>
          </w:rPr>
          <w:fldChar w:fldCharType="end"/>
        </w:r>
      </w:hyperlink>
    </w:p>
    <w:p w:rsidR="002B625C" w:rsidRDefault="00847326">
      <w:pPr>
        <w:pStyle w:val="TOC2"/>
        <w:rPr>
          <w:rFonts w:asciiTheme="minorHAnsi" w:eastAsiaTheme="minorEastAsia" w:hAnsiTheme="minorHAnsi" w:cstheme="minorBidi"/>
          <w:noProof/>
        </w:rPr>
      </w:pPr>
      <w:hyperlink w:anchor="_Toc69810212" w:history="1">
        <w:r w:rsidR="002B625C" w:rsidRPr="008C78DA">
          <w:rPr>
            <w:rStyle w:val="Hyperlink"/>
            <w:rFonts w:cs="Times New Roman"/>
            <w:noProof/>
          </w:rPr>
          <w:t>14.1. INSTITUCIONALNI OKVIR ZA PROVOĐENJE NISKOUGLJIČNE STRATEGIJE</w:t>
        </w:r>
        <w:r w:rsidR="002B625C">
          <w:rPr>
            <w:noProof/>
            <w:webHidden/>
          </w:rPr>
          <w:tab/>
        </w:r>
        <w:r w:rsidR="002B625C">
          <w:rPr>
            <w:noProof/>
            <w:webHidden/>
          </w:rPr>
          <w:fldChar w:fldCharType="begin"/>
        </w:r>
        <w:r w:rsidR="002B625C">
          <w:rPr>
            <w:noProof/>
            <w:webHidden/>
          </w:rPr>
          <w:instrText xml:space="preserve"> PAGEREF _Toc69810212 \h </w:instrText>
        </w:r>
        <w:r w:rsidR="002B625C">
          <w:rPr>
            <w:noProof/>
            <w:webHidden/>
          </w:rPr>
        </w:r>
        <w:r w:rsidR="002B625C">
          <w:rPr>
            <w:noProof/>
            <w:webHidden/>
          </w:rPr>
          <w:fldChar w:fldCharType="separate"/>
        </w:r>
        <w:r>
          <w:rPr>
            <w:noProof/>
            <w:webHidden/>
          </w:rPr>
          <w:t>70</w:t>
        </w:r>
        <w:r w:rsidR="002B625C">
          <w:rPr>
            <w:noProof/>
            <w:webHidden/>
          </w:rPr>
          <w:fldChar w:fldCharType="end"/>
        </w:r>
      </w:hyperlink>
    </w:p>
    <w:p w:rsidR="002B625C" w:rsidRDefault="00847326">
      <w:pPr>
        <w:pStyle w:val="TOC2"/>
        <w:rPr>
          <w:rFonts w:asciiTheme="minorHAnsi" w:eastAsiaTheme="minorEastAsia" w:hAnsiTheme="minorHAnsi" w:cstheme="minorBidi"/>
          <w:noProof/>
        </w:rPr>
      </w:pPr>
      <w:hyperlink w:anchor="_Toc69810213" w:history="1">
        <w:r w:rsidR="002B625C" w:rsidRPr="008C78DA">
          <w:rPr>
            <w:rStyle w:val="Hyperlink"/>
            <w:rFonts w:cs="Times New Roman"/>
            <w:noProof/>
          </w:rPr>
          <w:t>14.2. POKAZATELJI PROVEDBE NISKOUGLJIČNE STRATEGIJE</w:t>
        </w:r>
        <w:r w:rsidR="002B625C">
          <w:rPr>
            <w:noProof/>
            <w:webHidden/>
          </w:rPr>
          <w:tab/>
        </w:r>
        <w:r w:rsidR="002B625C">
          <w:rPr>
            <w:noProof/>
            <w:webHidden/>
          </w:rPr>
          <w:fldChar w:fldCharType="begin"/>
        </w:r>
        <w:r w:rsidR="002B625C">
          <w:rPr>
            <w:noProof/>
            <w:webHidden/>
          </w:rPr>
          <w:instrText xml:space="preserve"> PAGEREF _Toc69810213 \h </w:instrText>
        </w:r>
        <w:r w:rsidR="002B625C">
          <w:rPr>
            <w:noProof/>
            <w:webHidden/>
          </w:rPr>
        </w:r>
        <w:r w:rsidR="002B625C">
          <w:rPr>
            <w:noProof/>
            <w:webHidden/>
          </w:rPr>
          <w:fldChar w:fldCharType="separate"/>
        </w:r>
        <w:r>
          <w:rPr>
            <w:noProof/>
            <w:webHidden/>
          </w:rPr>
          <w:t>72</w:t>
        </w:r>
        <w:r w:rsidR="002B625C">
          <w:rPr>
            <w:noProof/>
            <w:webHidden/>
          </w:rPr>
          <w:fldChar w:fldCharType="end"/>
        </w:r>
      </w:hyperlink>
    </w:p>
    <w:p w:rsidR="002B625C" w:rsidRDefault="00847326">
      <w:pPr>
        <w:pStyle w:val="TOC2"/>
        <w:rPr>
          <w:rFonts w:asciiTheme="minorHAnsi" w:eastAsiaTheme="minorEastAsia" w:hAnsiTheme="minorHAnsi" w:cstheme="minorBidi"/>
          <w:noProof/>
        </w:rPr>
      </w:pPr>
      <w:hyperlink w:anchor="_Toc69810214" w:history="1">
        <w:r w:rsidR="002B625C" w:rsidRPr="008C78DA">
          <w:rPr>
            <w:rStyle w:val="Hyperlink"/>
            <w:rFonts w:cs="Times New Roman"/>
            <w:noProof/>
          </w:rPr>
          <w:t>14.3. PRAĆENJE, IZVJEŠTAVANJE I VERIFIKACIJA</w:t>
        </w:r>
        <w:r w:rsidR="002B625C">
          <w:rPr>
            <w:noProof/>
            <w:webHidden/>
          </w:rPr>
          <w:tab/>
        </w:r>
        <w:r w:rsidR="002B625C">
          <w:rPr>
            <w:noProof/>
            <w:webHidden/>
          </w:rPr>
          <w:fldChar w:fldCharType="begin"/>
        </w:r>
        <w:r w:rsidR="002B625C">
          <w:rPr>
            <w:noProof/>
            <w:webHidden/>
          </w:rPr>
          <w:instrText xml:space="preserve"> PAGEREF _Toc69810214 \h </w:instrText>
        </w:r>
        <w:r w:rsidR="002B625C">
          <w:rPr>
            <w:noProof/>
            <w:webHidden/>
          </w:rPr>
        </w:r>
        <w:r w:rsidR="002B625C">
          <w:rPr>
            <w:noProof/>
            <w:webHidden/>
          </w:rPr>
          <w:fldChar w:fldCharType="separate"/>
        </w:r>
        <w:r>
          <w:rPr>
            <w:noProof/>
            <w:webHidden/>
          </w:rPr>
          <w:t>73</w:t>
        </w:r>
        <w:r w:rsidR="002B625C">
          <w:rPr>
            <w:noProof/>
            <w:webHidden/>
          </w:rPr>
          <w:fldChar w:fldCharType="end"/>
        </w:r>
      </w:hyperlink>
    </w:p>
    <w:p w:rsidR="002B625C" w:rsidRDefault="00847326">
      <w:pPr>
        <w:pStyle w:val="TOC2"/>
        <w:rPr>
          <w:rFonts w:asciiTheme="minorHAnsi" w:eastAsiaTheme="minorEastAsia" w:hAnsiTheme="minorHAnsi" w:cstheme="minorBidi"/>
          <w:noProof/>
        </w:rPr>
      </w:pPr>
      <w:hyperlink w:anchor="_Toc69810215" w:history="1">
        <w:r w:rsidR="002B625C" w:rsidRPr="008C78DA">
          <w:rPr>
            <w:rStyle w:val="Hyperlink"/>
            <w:rFonts w:cs="Times New Roman"/>
            <w:noProof/>
          </w:rPr>
          <w:t>14.4. STRATEŠKA PROCJENA UTJECAJA NISKOUGLJIČNE STRATEGIJE NA OKOLIŠ</w:t>
        </w:r>
        <w:r w:rsidR="002B625C">
          <w:rPr>
            <w:noProof/>
            <w:webHidden/>
          </w:rPr>
          <w:tab/>
        </w:r>
        <w:r w:rsidR="002B625C">
          <w:rPr>
            <w:noProof/>
            <w:webHidden/>
          </w:rPr>
          <w:fldChar w:fldCharType="begin"/>
        </w:r>
        <w:r w:rsidR="002B625C">
          <w:rPr>
            <w:noProof/>
            <w:webHidden/>
          </w:rPr>
          <w:instrText xml:space="preserve"> PAGEREF _Toc69810215 \h </w:instrText>
        </w:r>
        <w:r w:rsidR="002B625C">
          <w:rPr>
            <w:noProof/>
            <w:webHidden/>
          </w:rPr>
        </w:r>
        <w:r w:rsidR="002B625C">
          <w:rPr>
            <w:noProof/>
            <w:webHidden/>
          </w:rPr>
          <w:fldChar w:fldCharType="separate"/>
        </w:r>
        <w:r>
          <w:rPr>
            <w:noProof/>
            <w:webHidden/>
          </w:rPr>
          <w:t>74</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16" w:history="1">
        <w:r w:rsidR="002B625C" w:rsidRPr="008C78DA">
          <w:rPr>
            <w:rStyle w:val="Hyperlink"/>
            <w:rFonts w:cs="Times New Roman"/>
            <w:noProof/>
          </w:rPr>
          <w:t>15.</w:t>
        </w:r>
        <w:r w:rsidR="002B625C">
          <w:rPr>
            <w:rFonts w:asciiTheme="minorHAnsi" w:eastAsiaTheme="minorEastAsia" w:hAnsiTheme="minorHAnsi" w:cstheme="minorBidi"/>
            <w:noProof/>
            <w:szCs w:val="22"/>
          </w:rPr>
          <w:tab/>
        </w:r>
        <w:r w:rsidR="002B625C" w:rsidRPr="008C78DA">
          <w:rPr>
            <w:rStyle w:val="Hyperlink"/>
            <w:rFonts w:cs="Times New Roman"/>
            <w:noProof/>
          </w:rPr>
          <w:t>INFORMACIJA O SCENARIJU KLIMATSKE NEUTRALNOSTI</w:t>
        </w:r>
        <w:r w:rsidR="002B625C">
          <w:rPr>
            <w:noProof/>
            <w:webHidden/>
          </w:rPr>
          <w:tab/>
        </w:r>
        <w:r w:rsidR="002B625C">
          <w:rPr>
            <w:noProof/>
            <w:webHidden/>
          </w:rPr>
          <w:fldChar w:fldCharType="begin"/>
        </w:r>
        <w:r w:rsidR="002B625C">
          <w:rPr>
            <w:noProof/>
            <w:webHidden/>
          </w:rPr>
          <w:instrText xml:space="preserve"> PAGEREF _Toc69810216 \h </w:instrText>
        </w:r>
        <w:r w:rsidR="002B625C">
          <w:rPr>
            <w:noProof/>
            <w:webHidden/>
          </w:rPr>
        </w:r>
        <w:r w:rsidR="002B625C">
          <w:rPr>
            <w:noProof/>
            <w:webHidden/>
          </w:rPr>
          <w:fldChar w:fldCharType="separate"/>
        </w:r>
        <w:r>
          <w:rPr>
            <w:noProof/>
            <w:webHidden/>
          </w:rPr>
          <w:t>78</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17" w:history="1">
        <w:r w:rsidR="002B625C" w:rsidRPr="008C78DA">
          <w:rPr>
            <w:rStyle w:val="Hyperlink"/>
            <w:rFonts w:cs="Times New Roman"/>
            <w:noProof/>
          </w:rPr>
          <w:t>PRILOG I. - OPIS REFERENTNOG SCENARIJA (NUR)</w:t>
        </w:r>
        <w:r w:rsidR="002B625C">
          <w:rPr>
            <w:noProof/>
            <w:webHidden/>
          </w:rPr>
          <w:tab/>
        </w:r>
        <w:r w:rsidR="002B625C">
          <w:rPr>
            <w:noProof/>
            <w:webHidden/>
          </w:rPr>
          <w:fldChar w:fldCharType="begin"/>
        </w:r>
        <w:r w:rsidR="002B625C">
          <w:rPr>
            <w:noProof/>
            <w:webHidden/>
          </w:rPr>
          <w:instrText xml:space="preserve"> PAGEREF _Toc69810217 \h </w:instrText>
        </w:r>
        <w:r w:rsidR="002B625C">
          <w:rPr>
            <w:noProof/>
            <w:webHidden/>
          </w:rPr>
        </w:r>
        <w:r w:rsidR="002B625C">
          <w:rPr>
            <w:noProof/>
            <w:webHidden/>
          </w:rPr>
          <w:fldChar w:fldCharType="separate"/>
        </w:r>
        <w:r>
          <w:rPr>
            <w:noProof/>
            <w:webHidden/>
          </w:rPr>
          <w:t>80</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18" w:history="1">
        <w:r w:rsidR="002B625C" w:rsidRPr="008C78DA">
          <w:rPr>
            <w:rStyle w:val="Hyperlink"/>
            <w:rFonts w:cs="Times New Roman"/>
            <w:noProof/>
          </w:rPr>
          <w:t xml:space="preserve">I.1. </w:t>
        </w:r>
        <w:r w:rsidR="002B625C">
          <w:rPr>
            <w:rFonts w:asciiTheme="minorHAnsi" w:eastAsiaTheme="minorEastAsia" w:hAnsiTheme="minorHAnsi" w:cstheme="minorBidi"/>
            <w:noProof/>
          </w:rPr>
          <w:tab/>
        </w:r>
        <w:r w:rsidR="002B625C" w:rsidRPr="008C78DA">
          <w:rPr>
            <w:rStyle w:val="Hyperlink"/>
            <w:rFonts w:cs="Times New Roman"/>
            <w:noProof/>
          </w:rPr>
          <w:t>PROIZVODNJA, POTROŠNJA, UVOZ I IZVOZ ENERGIJE</w:t>
        </w:r>
        <w:r w:rsidR="002B625C">
          <w:rPr>
            <w:noProof/>
            <w:webHidden/>
          </w:rPr>
          <w:tab/>
        </w:r>
        <w:r w:rsidR="002B625C">
          <w:rPr>
            <w:noProof/>
            <w:webHidden/>
          </w:rPr>
          <w:fldChar w:fldCharType="begin"/>
        </w:r>
        <w:r w:rsidR="002B625C">
          <w:rPr>
            <w:noProof/>
            <w:webHidden/>
          </w:rPr>
          <w:instrText xml:space="preserve"> PAGEREF _Toc69810218 \h </w:instrText>
        </w:r>
        <w:r w:rsidR="002B625C">
          <w:rPr>
            <w:noProof/>
            <w:webHidden/>
          </w:rPr>
        </w:r>
        <w:r w:rsidR="002B625C">
          <w:rPr>
            <w:noProof/>
            <w:webHidden/>
          </w:rPr>
          <w:fldChar w:fldCharType="separate"/>
        </w:r>
        <w:r>
          <w:rPr>
            <w:noProof/>
            <w:webHidden/>
          </w:rPr>
          <w:t>80</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19" w:history="1">
        <w:r w:rsidR="002B625C" w:rsidRPr="008C78DA">
          <w:rPr>
            <w:rStyle w:val="Hyperlink"/>
            <w:rFonts w:cs="Times New Roman"/>
            <w:noProof/>
          </w:rPr>
          <w:t xml:space="preserve">I.2. </w:t>
        </w:r>
        <w:r w:rsidR="002B625C">
          <w:rPr>
            <w:rFonts w:asciiTheme="minorHAnsi" w:eastAsiaTheme="minorEastAsia" w:hAnsiTheme="minorHAnsi" w:cstheme="minorBidi"/>
            <w:noProof/>
          </w:rPr>
          <w:tab/>
        </w:r>
        <w:r w:rsidR="002B625C" w:rsidRPr="008C78DA">
          <w:rPr>
            <w:rStyle w:val="Hyperlink"/>
            <w:rFonts w:cs="Times New Roman"/>
            <w:noProof/>
          </w:rPr>
          <w:t>INDUSTRIJA</w:t>
        </w:r>
        <w:r w:rsidR="002B625C">
          <w:rPr>
            <w:noProof/>
            <w:webHidden/>
          </w:rPr>
          <w:tab/>
        </w:r>
        <w:r w:rsidR="002B625C">
          <w:rPr>
            <w:noProof/>
            <w:webHidden/>
          </w:rPr>
          <w:fldChar w:fldCharType="begin"/>
        </w:r>
        <w:r w:rsidR="002B625C">
          <w:rPr>
            <w:noProof/>
            <w:webHidden/>
          </w:rPr>
          <w:instrText xml:space="preserve"> PAGEREF _Toc69810219 \h </w:instrText>
        </w:r>
        <w:r w:rsidR="002B625C">
          <w:rPr>
            <w:noProof/>
            <w:webHidden/>
          </w:rPr>
        </w:r>
        <w:r w:rsidR="002B625C">
          <w:rPr>
            <w:noProof/>
            <w:webHidden/>
          </w:rPr>
          <w:fldChar w:fldCharType="separate"/>
        </w:r>
        <w:r>
          <w:rPr>
            <w:noProof/>
            <w:webHidden/>
          </w:rPr>
          <w:t>82</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20" w:history="1">
        <w:r w:rsidR="002B625C" w:rsidRPr="008C78DA">
          <w:rPr>
            <w:rStyle w:val="Hyperlink"/>
            <w:rFonts w:cs="Times New Roman"/>
            <w:noProof/>
          </w:rPr>
          <w:t xml:space="preserve">I.3. </w:t>
        </w:r>
        <w:r w:rsidR="002B625C">
          <w:rPr>
            <w:rFonts w:asciiTheme="minorHAnsi" w:eastAsiaTheme="minorEastAsia" w:hAnsiTheme="minorHAnsi" w:cstheme="minorBidi"/>
            <w:noProof/>
          </w:rPr>
          <w:tab/>
        </w:r>
        <w:r w:rsidR="002B625C" w:rsidRPr="008C78DA">
          <w:rPr>
            <w:rStyle w:val="Hyperlink"/>
            <w:rFonts w:cs="Times New Roman"/>
            <w:noProof/>
          </w:rPr>
          <w:t>PROMET</w:t>
        </w:r>
        <w:r w:rsidR="002B625C">
          <w:rPr>
            <w:noProof/>
            <w:webHidden/>
          </w:rPr>
          <w:tab/>
        </w:r>
        <w:r w:rsidR="002B625C">
          <w:rPr>
            <w:noProof/>
            <w:webHidden/>
          </w:rPr>
          <w:fldChar w:fldCharType="begin"/>
        </w:r>
        <w:r w:rsidR="002B625C">
          <w:rPr>
            <w:noProof/>
            <w:webHidden/>
          </w:rPr>
          <w:instrText xml:space="preserve"> PAGEREF _Toc69810220 \h </w:instrText>
        </w:r>
        <w:r w:rsidR="002B625C">
          <w:rPr>
            <w:noProof/>
            <w:webHidden/>
          </w:rPr>
        </w:r>
        <w:r w:rsidR="002B625C">
          <w:rPr>
            <w:noProof/>
            <w:webHidden/>
          </w:rPr>
          <w:fldChar w:fldCharType="separate"/>
        </w:r>
        <w:r>
          <w:rPr>
            <w:noProof/>
            <w:webHidden/>
          </w:rPr>
          <w:t>83</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21" w:history="1">
        <w:r w:rsidR="002B625C" w:rsidRPr="008C78DA">
          <w:rPr>
            <w:rStyle w:val="Hyperlink"/>
            <w:rFonts w:cs="Times New Roman"/>
            <w:noProof/>
          </w:rPr>
          <w:t xml:space="preserve">I.4. </w:t>
        </w:r>
        <w:r w:rsidR="002B625C">
          <w:rPr>
            <w:rFonts w:asciiTheme="minorHAnsi" w:eastAsiaTheme="minorEastAsia" w:hAnsiTheme="minorHAnsi" w:cstheme="minorBidi"/>
            <w:noProof/>
          </w:rPr>
          <w:tab/>
        </w:r>
        <w:r w:rsidR="002B625C" w:rsidRPr="008C78DA">
          <w:rPr>
            <w:rStyle w:val="Hyperlink"/>
            <w:rFonts w:cs="Times New Roman"/>
            <w:noProof/>
          </w:rPr>
          <w:t>SEKTOR OPĆE POTROŠNJE</w:t>
        </w:r>
        <w:r w:rsidR="002B625C">
          <w:rPr>
            <w:noProof/>
            <w:webHidden/>
          </w:rPr>
          <w:tab/>
        </w:r>
        <w:r w:rsidR="002B625C">
          <w:rPr>
            <w:noProof/>
            <w:webHidden/>
          </w:rPr>
          <w:fldChar w:fldCharType="begin"/>
        </w:r>
        <w:r w:rsidR="002B625C">
          <w:rPr>
            <w:noProof/>
            <w:webHidden/>
          </w:rPr>
          <w:instrText xml:space="preserve"> PAGEREF _Toc69810221 \h </w:instrText>
        </w:r>
        <w:r w:rsidR="002B625C">
          <w:rPr>
            <w:noProof/>
            <w:webHidden/>
          </w:rPr>
        </w:r>
        <w:r w:rsidR="002B625C">
          <w:rPr>
            <w:noProof/>
            <w:webHidden/>
          </w:rPr>
          <w:fldChar w:fldCharType="separate"/>
        </w:r>
        <w:r>
          <w:rPr>
            <w:noProof/>
            <w:webHidden/>
          </w:rPr>
          <w:t>84</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22" w:history="1">
        <w:r w:rsidR="002B625C" w:rsidRPr="008C78DA">
          <w:rPr>
            <w:rStyle w:val="Hyperlink"/>
            <w:rFonts w:cs="Times New Roman"/>
            <w:noProof/>
          </w:rPr>
          <w:t xml:space="preserve">I.5. </w:t>
        </w:r>
        <w:r w:rsidR="002B625C">
          <w:rPr>
            <w:rFonts w:asciiTheme="minorHAnsi" w:eastAsiaTheme="minorEastAsia" w:hAnsiTheme="minorHAnsi" w:cstheme="minorBidi"/>
            <w:noProof/>
          </w:rPr>
          <w:tab/>
        </w:r>
        <w:r w:rsidR="002B625C" w:rsidRPr="008C78DA">
          <w:rPr>
            <w:rStyle w:val="Hyperlink"/>
            <w:rFonts w:cs="Times New Roman"/>
            <w:noProof/>
          </w:rPr>
          <w:t>POLJOPRIVREDA</w:t>
        </w:r>
        <w:r w:rsidR="002B625C">
          <w:rPr>
            <w:noProof/>
            <w:webHidden/>
          </w:rPr>
          <w:tab/>
        </w:r>
        <w:r w:rsidR="002B625C">
          <w:rPr>
            <w:noProof/>
            <w:webHidden/>
          </w:rPr>
          <w:fldChar w:fldCharType="begin"/>
        </w:r>
        <w:r w:rsidR="002B625C">
          <w:rPr>
            <w:noProof/>
            <w:webHidden/>
          </w:rPr>
          <w:instrText xml:space="preserve"> PAGEREF _Toc69810222 \h </w:instrText>
        </w:r>
        <w:r w:rsidR="002B625C">
          <w:rPr>
            <w:noProof/>
            <w:webHidden/>
          </w:rPr>
        </w:r>
        <w:r w:rsidR="002B625C">
          <w:rPr>
            <w:noProof/>
            <w:webHidden/>
          </w:rPr>
          <w:fldChar w:fldCharType="separate"/>
        </w:r>
        <w:r>
          <w:rPr>
            <w:noProof/>
            <w:webHidden/>
          </w:rPr>
          <w:t>84</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23" w:history="1">
        <w:r w:rsidR="002B625C" w:rsidRPr="008C78DA">
          <w:rPr>
            <w:rStyle w:val="Hyperlink"/>
            <w:rFonts w:cs="Times New Roman"/>
            <w:noProof/>
          </w:rPr>
          <w:t xml:space="preserve">I.6. </w:t>
        </w:r>
        <w:r w:rsidR="002B625C">
          <w:rPr>
            <w:rFonts w:asciiTheme="minorHAnsi" w:eastAsiaTheme="minorEastAsia" w:hAnsiTheme="minorHAnsi" w:cstheme="minorBidi"/>
            <w:noProof/>
          </w:rPr>
          <w:tab/>
        </w:r>
        <w:r w:rsidR="002B625C" w:rsidRPr="008C78DA">
          <w:rPr>
            <w:rStyle w:val="Hyperlink"/>
            <w:rFonts w:cs="Times New Roman"/>
            <w:noProof/>
          </w:rPr>
          <w:t>OTPAD</w:t>
        </w:r>
        <w:r w:rsidR="002B625C">
          <w:rPr>
            <w:noProof/>
            <w:webHidden/>
          </w:rPr>
          <w:tab/>
        </w:r>
        <w:r w:rsidR="002B625C">
          <w:rPr>
            <w:noProof/>
            <w:webHidden/>
          </w:rPr>
          <w:fldChar w:fldCharType="begin"/>
        </w:r>
        <w:r w:rsidR="002B625C">
          <w:rPr>
            <w:noProof/>
            <w:webHidden/>
          </w:rPr>
          <w:instrText xml:space="preserve"> PAGEREF _Toc69810223 \h </w:instrText>
        </w:r>
        <w:r w:rsidR="002B625C">
          <w:rPr>
            <w:noProof/>
            <w:webHidden/>
          </w:rPr>
        </w:r>
        <w:r w:rsidR="002B625C">
          <w:rPr>
            <w:noProof/>
            <w:webHidden/>
          </w:rPr>
          <w:fldChar w:fldCharType="separate"/>
        </w:r>
        <w:r>
          <w:rPr>
            <w:noProof/>
            <w:webHidden/>
          </w:rPr>
          <w:t>84</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24" w:history="1">
        <w:r w:rsidR="002B625C" w:rsidRPr="008C78DA">
          <w:rPr>
            <w:rStyle w:val="Hyperlink"/>
            <w:rFonts w:cs="Times New Roman"/>
            <w:noProof/>
          </w:rPr>
          <w:t>PRILOG II.  -  OPIS NISKOUGLJIČNOG SCENARIJA POSTUPNE TRANZICIJE (NU1)</w:t>
        </w:r>
        <w:r w:rsidR="002B625C">
          <w:rPr>
            <w:noProof/>
            <w:webHidden/>
          </w:rPr>
          <w:tab/>
        </w:r>
        <w:r w:rsidR="002B625C">
          <w:rPr>
            <w:noProof/>
            <w:webHidden/>
          </w:rPr>
          <w:fldChar w:fldCharType="begin"/>
        </w:r>
        <w:r w:rsidR="002B625C">
          <w:rPr>
            <w:noProof/>
            <w:webHidden/>
          </w:rPr>
          <w:instrText xml:space="preserve"> PAGEREF _Toc69810224 \h </w:instrText>
        </w:r>
        <w:r w:rsidR="002B625C">
          <w:rPr>
            <w:noProof/>
            <w:webHidden/>
          </w:rPr>
        </w:r>
        <w:r w:rsidR="002B625C">
          <w:rPr>
            <w:noProof/>
            <w:webHidden/>
          </w:rPr>
          <w:fldChar w:fldCharType="separate"/>
        </w:r>
        <w:r>
          <w:rPr>
            <w:noProof/>
            <w:webHidden/>
          </w:rPr>
          <w:t>85</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25" w:history="1">
        <w:r w:rsidR="002B625C" w:rsidRPr="008C78DA">
          <w:rPr>
            <w:rStyle w:val="Hyperlink"/>
            <w:rFonts w:cs="Times New Roman"/>
            <w:noProof/>
          </w:rPr>
          <w:t xml:space="preserve">II.1. </w:t>
        </w:r>
        <w:r w:rsidR="002B625C">
          <w:rPr>
            <w:rFonts w:asciiTheme="minorHAnsi" w:eastAsiaTheme="minorEastAsia" w:hAnsiTheme="minorHAnsi" w:cstheme="minorBidi"/>
            <w:noProof/>
          </w:rPr>
          <w:tab/>
        </w:r>
        <w:r w:rsidR="002B625C" w:rsidRPr="008C78DA">
          <w:rPr>
            <w:rStyle w:val="Hyperlink"/>
            <w:rFonts w:cs="Times New Roman"/>
            <w:noProof/>
          </w:rPr>
          <w:t>PROIZVODNJA, POTROŠNJA, UVOZ I IZVOZ ENERGIJE</w:t>
        </w:r>
        <w:r w:rsidR="002B625C">
          <w:rPr>
            <w:noProof/>
            <w:webHidden/>
          </w:rPr>
          <w:tab/>
        </w:r>
        <w:r w:rsidR="002B625C">
          <w:rPr>
            <w:noProof/>
            <w:webHidden/>
          </w:rPr>
          <w:fldChar w:fldCharType="begin"/>
        </w:r>
        <w:r w:rsidR="002B625C">
          <w:rPr>
            <w:noProof/>
            <w:webHidden/>
          </w:rPr>
          <w:instrText xml:space="preserve"> PAGEREF _Toc69810225 \h </w:instrText>
        </w:r>
        <w:r w:rsidR="002B625C">
          <w:rPr>
            <w:noProof/>
            <w:webHidden/>
          </w:rPr>
        </w:r>
        <w:r w:rsidR="002B625C">
          <w:rPr>
            <w:noProof/>
            <w:webHidden/>
          </w:rPr>
          <w:fldChar w:fldCharType="separate"/>
        </w:r>
        <w:r>
          <w:rPr>
            <w:noProof/>
            <w:webHidden/>
          </w:rPr>
          <w:t>85</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26" w:history="1">
        <w:r w:rsidR="002B625C" w:rsidRPr="008C78DA">
          <w:rPr>
            <w:rStyle w:val="Hyperlink"/>
            <w:rFonts w:cs="Times New Roman"/>
            <w:noProof/>
          </w:rPr>
          <w:t xml:space="preserve">II.2. </w:t>
        </w:r>
        <w:r w:rsidR="002B625C">
          <w:rPr>
            <w:rFonts w:asciiTheme="minorHAnsi" w:eastAsiaTheme="minorEastAsia" w:hAnsiTheme="minorHAnsi" w:cstheme="minorBidi"/>
            <w:noProof/>
          </w:rPr>
          <w:tab/>
        </w:r>
        <w:r w:rsidR="002B625C" w:rsidRPr="008C78DA">
          <w:rPr>
            <w:rStyle w:val="Hyperlink"/>
            <w:rFonts w:cs="Times New Roman"/>
            <w:noProof/>
          </w:rPr>
          <w:t>INDUSTRIJA</w:t>
        </w:r>
        <w:r w:rsidR="002B625C">
          <w:rPr>
            <w:noProof/>
            <w:webHidden/>
          </w:rPr>
          <w:tab/>
        </w:r>
        <w:r w:rsidR="002B625C">
          <w:rPr>
            <w:noProof/>
            <w:webHidden/>
          </w:rPr>
          <w:fldChar w:fldCharType="begin"/>
        </w:r>
        <w:r w:rsidR="002B625C">
          <w:rPr>
            <w:noProof/>
            <w:webHidden/>
          </w:rPr>
          <w:instrText xml:space="preserve"> PAGEREF _Toc69810226 \h </w:instrText>
        </w:r>
        <w:r w:rsidR="002B625C">
          <w:rPr>
            <w:noProof/>
            <w:webHidden/>
          </w:rPr>
        </w:r>
        <w:r w:rsidR="002B625C">
          <w:rPr>
            <w:noProof/>
            <w:webHidden/>
          </w:rPr>
          <w:fldChar w:fldCharType="separate"/>
        </w:r>
        <w:r>
          <w:rPr>
            <w:noProof/>
            <w:webHidden/>
          </w:rPr>
          <w:t>88</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27" w:history="1">
        <w:r w:rsidR="002B625C" w:rsidRPr="008C78DA">
          <w:rPr>
            <w:rStyle w:val="Hyperlink"/>
            <w:rFonts w:cs="Times New Roman"/>
            <w:noProof/>
          </w:rPr>
          <w:t xml:space="preserve">II.3. </w:t>
        </w:r>
        <w:r w:rsidR="002B625C">
          <w:rPr>
            <w:rFonts w:asciiTheme="minorHAnsi" w:eastAsiaTheme="minorEastAsia" w:hAnsiTheme="minorHAnsi" w:cstheme="minorBidi"/>
            <w:noProof/>
          </w:rPr>
          <w:tab/>
        </w:r>
        <w:r w:rsidR="002B625C" w:rsidRPr="008C78DA">
          <w:rPr>
            <w:rStyle w:val="Hyperlink"/>
            <w:rFonts w:cs="Times New Roman"/>
            <w:noProof/>
          </w:rPr>
          <w:t>PROMET</w:t>
        </w:r>
        <w:r w:rsidR="002B625C">
          <w:rPr>
            <w:noProof/>
            <w:webHidden/>
          </w:rPr>
          <w:tab/>
        </w:r>
        <w:r w:rsidR="002B625C">
          <w:rPr>
            <w:noProof/>
            <w:webHidden/>
          </w:rPr>
          <w:fldChar w:fldCharType="begin"/>
        </w:r>
        <w:r w:rsidR="002B625C">
          <w:rPr>
            <w:noProof/>
            <w:webHidden/>
          </w:rPr>
          <w:instrText xml:space="preserve"> PAGEREF _Toc69810227 \h </w:instrText>
        </w:r>
        <w:r w:rsidR="002B625C">
          <w:rPr>
            <w:noProof/>
            <w:webHidden/>
          </w:rPr>
        </w:r>
        <w:r w:rsidR="002B625C">
          <w:rPr>
            <w:noProof/>
            <w:webHidden/>
          </w:rPr>
          <w:fldChar w:fldCharType="separate"/>
        </w:r>
        <w:r>
          <w:rPr>
            <w:noProof/>
            <w:webHidden/>
          </w:rPr>
          <w:t>88</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28" w:history="1">
        <w:r w:rsidR="002B625C" w:rsidRPr="008C78DA">
          <w:rPr>
            <w:rStyle w:val="Hyperlink"/>
            <w:rFonts w:cs="Times New Roman"/>
            <w:noProof/>
          </w:rPr>
          <w:t xml:space="preserve">II.4. </w:t>
        </w:r>
        <w:r w:rsidR="002B625C">
          <w:rPr>
            <w:rFonts w:asciiTheme="minorHAnsi" w:eastAsiaTheme="minorEastAsia" w:hAnsiTheme="minorHAnsi" w:cstheme="minorBidi"/>
            <w:noProof/>
          </w:rPr>
          <w:tab/>
        </w:r>
        <w:r w:rsidR="002B625C" w:rsidRPr="008C78DA">
          <w:rPr>
            <w:rStyle w:val="Hyperlink"/>
            <w:rFonts w:cs="Times New Roman"/>
            <w:noProof/>
          </w:rPr>
          <w:t>SEKTOR OPĆE POTROŠNJE</w:t>
        </w:r>
        <w:r w:rsidR="002B625C">
          <w:rPr>
            <w:noProof/>
            <w:webHidden/>
          </w:rPr>
          <w:tab/>
        </w:r>
        <w:r w:rsidR="002B625C">
          <w:rPr>
            <w:noProof/>
            <w:webHidden/>
          </w:rPr>
          <w:fldChar w:fldCharType="begin"/>
        </w:r>
        <w:r w:rsidR="002B625C">
          <w:rPr>
            <w:noProof/>
            <w:webHidden/>
          </w:rPr>
          <w:instrText xml:space="preserve"> PAGEREF _Toc69810228 \h </w:instrText>
        </w:r>
        <w:r w:rsidR="002B625C">
          <w:rPr>
            <w:noProof/>
            <w:webHidden/>
          </w:rPr>
        </w:r>
        <w:r w:rsidR="002B625C">
          <w:rPr>
            <w:noProof/>
            <w:webHidden/>
          </w:rPr>
          <w:fldChar w:fldCharType="separate"/>
        </w:r>
        <w:r>
          <w:rPr>
            <w:noProof/>
            <w:webHidden/>
          </w:rPr>
          <w:t>89</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29" w:history="1">
        <w:r w:rsidR="002B625C" w:rsidRPr="008C78DA">
          <w:rPr>
            <w:rStyle w:val="Hyperlink"/>
            <w:rFonts w:cs="Times New Roman"/>
            <w:noProof/>
          </w:rPr>
          <w:t xml:space="preserve">II.5. </w:t>
        </w:r>
        <w:r w:rsidR="002B625C">
          <w:rPr>
            <w:rFonts w:asciiTheme="minorHAnsi" w:eastAsiaTheme="minorEastAsia" w:hAnsiTheme="minorHAnsi" w:cstheme="minorBidi"/>
            <w:noProof/>
          </w:rPr>
          <w:tab/>
        </w:r>
        <w:r w:rsidR="002B625C" w:rsidRPr="008C78DA">
          <w:rPr>
            <w:rStyle w:val="Hyperlink"/>
            <w:rFonts w:cs="Times New Roman"/>
            <w:noProof/>
          </w:rPr>
          <w:t>POLJOPRIVREDA</w:t>
        </w:r>
        <w:r w:rsidR="002B625C">
          <w:rPr>
            <w:noProof/>
            <w:webHidden/>
          </w:rPr>
          <w:tab/>
        </w:r>
        <w:r w:rsidR="002B625C">
          <w:rPr>
            <w:noProof/>
            <w:webHidden/>
          </w:rPr>
          <w:fldChar w:fldCharType="begin"/>
        </w:r>
        <w:r w:rsidR="002B625C">
          <w:rPr>
            <w:noProof/>
            <w:webHidden/>
          </w:rPr>
          <w:instrText xml:space="preserve"> PAGEREF _Toc69810229 \h </w:instrText>
        </w:r>
        <w:r w:rsidR="002B625C">
          <w:rPr>
            <w:noProof/>
            <w:webHidden/>
          </w:rPr>
        </w:r>
        <w:r w:rsidR="002B625C">
          <w:rPr>
            <w:noProof/>
            <w:webHidden/>
          </w:rPr>
          <w:fldChar w:fldCharType="separate"/>
        </w:r>
        <w:r>
          <w:rPr>
            <w:noProof/>
            <w:webHidden/>
          </w:rPr>
          <w:t>89</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30" w:history="1">
        <w:r w:rsidR="002B625C" w:rsidRPr="008C78DA">
          <w:rPr>
            <w:rStyle w:val="Hyperlink"/>
            <w:rFonts w:cs="Times New Roman"/>
            <w:noProof/>
          </w:rPr>
          <w:t xml:space="preserve">II.6. </w:t>
        </w:r>
        <w:r w:rsidR="002B625C">
          <w:rPr>
            <w:rFonts w:asciiTheme="minorHAnsi" w:eastAsiaTheme="minorEastAsia" w:hAnsiTheme="minorHAnsi" w:cstheme="minorBidi"/>
            <w:noProof/>
          </w:rPr>
          <w:tab/>
        </w:r>
        <w:r w:rsidR="002B625C" w:rsidRPr="008C78DA">
          <w:rPr>
            <w:rStyle w:val="Hyperlink"/>
            <w:rFonts w:cs="Times New Roman"/>
            <w:noProof/>
          </w:rPr>
          <w:t>OTPAD</w:t>
        </w:r>
        <w:r w:rsidR="002B625C">
          <w:rPr>
            <w:noProof/>
            <w:webHidden/>
          </w:rPr>
          <w:tab/>
        </w:r>
        <w:r w:rsidR="002B625C">
          <w:rPr>
            <w:noProof/>
            <w:webHidden/>
          </w:rPr>
          <w:fldChar w:fldCharType="begin"/>
        </w:r>
        <w:r w:rsidR="002B625C">
          <w:rPr>
            <w:noProof/>
            <w:webHidden/>
          </w:rPr>
          <w:instrText xml:space="preserve"> PAGEREF _Toc69810230 \h </w:instrText>
        </w:r>
        <w:r w:rsidR="002B625C">
          <w:rPr>
            <w:noProof/>
            <w:webHidden/>
          </w:rPr>
        </w:r>
        <w:r w:rsidR="002B625C">
          <w:rPr>
            <w:noProof/>
            <w:webHidden/>
          </w:rPr>
          <w:fldChar w:fldCharType="separate"/>
        </w:r>
        <w:r>
          <w:rPr>
            <w:noProof/>
            <w:webHidden/>
          </w:rPr>
          <w:t>90</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31" w:history="1">
        <w:r w:rsidR="002B625C" w:rsidRPr="008C78DA">
          <w:rPr>
            <w:rStyle w:val="Hyperlink"/>
            <w:rFonts w:cs="Times New Roman"/>
            <w:noProof/>
          </w:rPr>
          <w:t>PRILOG III.  -  OPIS NISKOUGLJIČNOG SCENARIJA SNAŽNE TRANZICIJE (NU2)</w:t>
        </w:r>
        <w:r w:rsidR="002B625C">
          <w:rPr>
            <w:noProof/>
            <w:webHidden/>
          </w:rPr>
          <w:tab/>
        </w:r>
        <w:r w:rsidR="002B625C">
          <w:rPr>
            <w:noProof/>
            <w:webHidden/>
          </w:rPr>
          <w:fldChar w:fldCharType="begin"/>
        </w:r>
        <w:r w:rsidR="002B625C">
          <w:rPr>
            <w:noProof/>
            <w:webHidden/>
          </w:rPr>
          <w:instrText xml:space="preserve"> PAGEREF _Toc69810231 \h </w:instrText>
        </w:r>
        <w:r w:rsidR="002B625C">
          <w:rPr>
            <w:noProof/>
            <w:webHidden/>
          </w:rPr>
        </w:r>
        <w:r w:rsidR="002B625C">
          <w:rPr>
            <w:noProof/>
            <w:webHidden/>
          </w:rPr>
          <w:fldChar w:fldCharType="separate"/>
        </w:r>
        <w:r>
          <w:rPr>
            <w:noProof/>
            <w:webHidden/>
          </w:rPr>
          <w:t>91</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32" w:history="1">
        <w:r w:rsidR="002B625C" w:rsidRPr="008C78DA">
          <w:rPr>
            <w:rStyle w:val="Hyperlink"/>
            <w:rFonts w:cs="Times New Roman"/>
            <w:noProof/>
          </w:rPr>
          <w:t xml:space="preserve">III.1. </w:t>
        </w:r>
        <w:r w:rsidR="002B625C">
          <w:rPr>
            <w:rFonts w:asciiTheme="minorHAnsi" w:eastAsiaTheme="minorEastAsia" w:hAnsiTheme="minorHAnsi" w:cstheme="minorBidi"/>
            <w:noProof/>
          </w:rPr>
          <w:tab/>
        </w:r>
        <w:r w:rsidR="002B625C" w:rsidRPr="008C78DA">
          <w:rPr>
            <w:rStyle w:val="Hyperlink"/>
            <w:rFonts w:cs="Times New Roman"/>
            <w:noProof/>
          </w:rPr>
          <w:t>PROIZVODNJA, POTROŠNJA, UVOZ I IZVOZ ENERGIJE</w:t>
        </w:r>
        <w:r w:rsidR="002B625C">
          <w:rPr>
            <w:noProof/>
            <w:webHidden/>
          </w:rPr>
          <w:tab/>
        </w:r>
        <w:r w:rsidR="002B625C">
          <w:rPr>
            <w:noProof/>
            <w:webHidden/>
          </w:rPr>
          <w:fldChar w:fldCharType="begin"/>
        </w:r>
        <w:r w:rsidR="002B625C">
          <w:rPr>
            <w:noProof/>
            <w:webHidden/>
          </w:rPr>
          <w:instrText xml:space="preserve"> PAGEREF _Toc69810232 \h </w:instrText>
        </w:r>
        <w:r w:rsidR="002B625C">
          <w:rPr>
            <w:noProof/>
            <w:webHidden/>
          </w:rPr>
        </w:r>
        <w:r w:rsidR="002B625C">
          <w:rPr>
            <w:noProof/>
            <w:webHidden/>
          </w:rPr>
          <w:fldChar w:fldCharType="separate"/>
        </w:r>
        <w:r>
          <w:rPr>
            <w:noProof/>
            <w:webHidden/>
          </w:rPr>
          <w:t>91</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33" w:history="1">
        <w:r w:rsidR="002B625C" w:rsidRPr="008C78DA">
          <w:rPr>
            <w:rStyle w:val="Hyperlink"/>
            <w:rFonts w:cs="Times New Roman"/>
            <w:noProof/>
          </w:rPr>
          <w:t xml:space="preserve">III.2. </w:t>
        </w:r>
        <w:r w:rsidR="002B625C">
          <w:rPr>
            <w:rFonts w:asciiTheme="minorHAnsi" w:eastAsiaTheme="minorEastAsia" w:hAnsiTheme="minorHAnsi" w:cstheme="minorBidi"/>
            <w:noProof/>
          </w:rPr>
          <w:tab/>
        </w:r>
        <w:r w:rsidR="002B625C" w:rsidRPr="008C78DA">
          <w:rPr>
            <w:rStyle w:val="Hyperlink"/>
            <w:rFonts w:cs="Times New Roman"/>
            <w:noProof/>
          </w:rPr>
          <w:t>INDUSTRIJA</w:t>
        </w:r>
        <w:r w:rsidR="002B625C">
          <w:rPr>
            <w:noProof/>
            <w:webHidden/>
          </w:rPr>
          <w:tab/>
        </w:r>
        <w:r w:rsidR="002B625C">
          <w:rPr>
            <w:noProof/>
            <w:webHidden/>
          </w:rPr>
          <w:fldChar w:fldCharType="begin"/>
        </w:r>
        <w:r w:rsidR="002B625C">
          <w:rPr>
            <w:noProof/>
            <w:webHidden/>
          </w:rPr>
          <w:instrText xml:space="preserve"> PAGEREF _Toc69810233 \h </w:instrText>
        </w:r>
        <w:r w:rsidR="002B625C">
          <w:rPr>
            <w:noProof/>
            <w:webHidden/>
          </w:rPr>
        </w:r>
        <w:r w:rsidR="002B625C">
          <w:rPr>
            <w:noProof/>
            <w:webHidden/>
          </w:rPr>
          <w:fldChar w:fldCharType="separate"/>
        </w:r>
        <w:r>
          <w:rPr>
            <w:noProof/>
            <w:webHidden/>
          </w:rPr>
          <w:t>93</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34" w:history="1">
        <w:r w:rsidR="002B625C" w:rsidRPr="008C78DA">
          <w:rPr>
            <w:rStyle w:val="Hyperlink"/>
            <w:rFonts w:cs="Times New Roman"/>
            <w:noProof/>
          </w:rPr>
          <w:t xml:space="preserve">III.3. </w:t>
        </w:r>
        <w:r w:rsidR="002B625C">
          <w:rPr>
            <w:rFonts w:asciiTheme="minorHAnsi" w:eastAsiaTheme="minorEastAsia" w:hAnsiTheme="minorHAnsi" w:cstheme="minorBidi"/>
            <w:noProof/>
          </w:rPr>
          <w:tab/>
        </w:r>
        <w:r w:rsidR="002B625C" w:rsidRPr="008C78DA">
          <w:rPr>
            <w:rStyle w:val="Hyperlink"/>
            <w:rFonts w:cs="Times New Roman"/>
            <w:noProof/>
          </w:rPr>
          <w:t>PROMET</w:t>
        </w:r>
        <w:r w:rsidR="002B625C">
          <w:rPr>
            <w:noProof/>
            <w:webHidden/>
          </w:rPr>
          <w:tab/>
        </w:r>
        <w:r w:rsidR="002B625C">
          <w:rPr>
            <w:noProof/>
            <w:webHidden/>
          </w:rPr>
          <w:fldChar w:fldCharType="begin"/>
        </w:r>
        <w:r w:rsidR="002B625C">
          <w:rPr>
            <w:noProof/>
            <w:webHidden/>
          </w:rPr>
          <w:instrText xml:space="preserve"> PAGEREF _Toc69810234 \h </w:instrText>
        </w:r>
        <w:r w:rsidR="002B625C">
          <w:rPr>
            <w:noProof/>
            <w:webHidden/>
          </w:rPr>
        </w:r>
        <w:r w:rsidR="002B625C">
          <w:rPr>
            <w:noProof/>
            <w:webHidden/>
          </w:rPr>
          <w:fldChar w:fldCharType="separate"/>
        </w:r>
        <w:r>
          <w:rPr>
            <w:noProof/>
            <w:webHidden/>
          </w:rPr>
          <w:t>94</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35" w:history="1">
        <w:r w:rsidR="002B625C" w:rsidRPr="008C78DA">
          <w:rPr>
            <w:rStyle w:val="Hyperlink"/>
            <w:rFonts w:cs="Times New Roman"/>
            <w:noProof/>
          </w:rPr>
          <w:t xml:space="preserve">III.4. </w:t>
        </w:r>
        <w:r w:rsidR="002B625C">
          <w:rPr>
            <w:rFonts w:asciiTheme="minorHAnsi" w:eastAsiaTheme="minorEastAsia" w:hAnsiTheme="minorHAnsi" w:cstheme="minorBidi"/>
            <w:noProof/>
          </w:rPr>
          <w:tab/>
        </w:r>
        <w:r w:rsidR="002B625C" w:rsidRPr="008C78DA">
          <w:rPr>
            <w:rStyle w:val="Hyperlink"/>
            <w:rFonts w:cs="Times New Roman"/>
            <w:noProof/>
          </w:rPr>
          <w:t>SEKTOR OPĆE POTROŠNJE</w:t>
        </w:r>
        <w:r w:rsidR="002B625C">
          <w:rPr>
            <w:noProof/>
            <w:webHidden/>
          </w:rPr>
          <w:tab/>
        </w:r>
        <w:r w:rsidR="002B625C">
          <w:rPr>
            <w:noProof/>
            <w:webHidden/>
          </w:rPr>
          <w:fldChar w:fldCharType="begin"/>
        </w:r>
        <w:r w:rsidR="002B625C">
          <w:rPr>
            <w:noProof/>
            <w:webHidden/>
          </w:rPr>
          <w:instrText xml:space="preserve"> PAGEREF _Toc69810235 \h </w:instrText>
        </w:r>
        <w:r w:rsidR="002B625C">
          <w:rPr>
            <w:noProof/>
            <w:webHidden/>
          </w:rPr>
        </w:r>
        <w:r w:rsidR="002B625C">
          <w:rPr>
            <w:noProof/>
            <w:webHidden/>
          </w:rPr>
          <w:fldChar w:fldCharType="separate"/>
        </w:r>
        <w:r>
          <w:rPr>
            <w:noProof/>
            <w:webHidden/>
          </w:rPr>
          <w:t>94</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36" w:history="1">
        <w:r w:rsidR="002B625C" w:rsidRPr="008C78DA">
          <w:rPr>
            <w:rStyle w:val="Hyperlink"/>
            <w:rFonts w:cs="Times New Roman"/>
            <w:noProof/>
          </w:rPr>
          <w:t xml:space="preserve">III.5. </w:t>
        </w:r>
        <w:r w:rsidR="002B625C">
          <w:rPr>
            <w:rFonts w:asciiTheme="minorHAnsi" w:eastAsiaTheme="minorEastAsia" w:hAnsiTheme="minorHAnsi" w:cstheme="minorBidi"/>
            <w:noProof/>
          </w:rPr>
          <w:tab/>
        </w:r>
        <w:r w:rsidR="002B625C" w:rsidRPr="008C78DA">
          <w:rPr>
            <w:rStyle w:val="Hyperlink"/>
            <w:rFonts w:cs="Times New Roman"/>
            <w:noProof/>
          </w:rPr>
          <w:t>POLJOPRIVREDA</w:t>
        </w:r>
        <w:r w:rsidR="002B625C">
          <w:rPr>
            <w:noProof/>
            <w:webHidden/>
          </w:rPr>
          <w:tab/>
        </w:r>
        <w:r w:rsidR="002B625C">
          <w:rPr>
            <w:noProof/>
            <w:webHidden/>
          </w:rPr>
          <w:fldChar w:fldCharType="begin"/>
        </w:r>
        <w:r w:rsidR="002B625C">
          <w:rPr>
            <w:noProof/>
            <w:webHidden/>
          </w:rPr>
          <w:instrText xml:space="preserve"> PAGEREF _Toc69810236 \h </w:instrText>
        </w:r>
        <w:r w:rsidR="002B625C">
          <w:rPr>
            <w:noProof/>
            <w:webHidden/>
          </w:rPr>
        </w:r>
        <w:r w:rsidR="002B625C">
          <w:rPr>
            <w:noProof/>
            <w:webHidden/>
          </w:rPr>
          <w:fldChar w:fldCharType="separate"/>
        </w:r>
        <w:r>
          <w:rPr>
            <w:noProof/>
            <w:webHidden/>
          </w:rPr>
          <w:t>94</w:t>
        </w:r>
        <w:r w:rsidR="002B625C">
          <w:rPr>
            <w:noProof/>
            <w:webHidden/>
          </w:rPr>
          <w:fldChar w:fldCharType="end"/>
        </w:r>
      </w:hyperlink>
    </w:p>
    <w:p w:rsidR="002B625C" w:rsidRDefault="00847326">
      <w:pPr>
        <w:pStyle w:val="TOC2"/>
        <w:tabs>
          <w:tab w:val="left" w:pos="1128"/>
        </w:tabs>
        <w:rPr>
          <w:rFonts w:asciiTheme="minorHAnsi" w:eastAsiaTheme="minorEastAsia" w:hAnsiTheme="minorHAnsi" w:cstheme="minorBidi"/>
          <w:noProof/>
        </w:rPr>
      </w:pPr>
      <w:hyperlink w:anchor="_Toc69810237" w:history="1">
        <w:r w:rsidR="002B625C" w:rsidRPr="008C78DA">
          <w:rPr>
            <w:rStyle w:val="Hyperlink"/>
            <w:rFonts w:cs="Times New Roman"/>
            <w:noProof/>
          </w:rPr>
          <w:t xml:space="preserve">III.6. </w:t>
        </w:r>
        <w:r w:rsidR="002B625C">
          <w:rPr>
            <w:rFonts w:asciiTheme="minorHAnsi" w:eastAsiaTheme="minorEastAsia" w:hAnsiTheme="minorHAnsi" w:cstheme="minorBidi"/>
            <w:noProof/>
          </w:rPr>
          <w:tab/>
        </w:r>
        <w:r w:rsidR="002B625C" w:rsidRPr="008C78DA">
          <w:rPr>
            <w:rStyle w:val="Hyperlink"/>
            <w:rFonts w:cs="Times New Roman"/>
            <w:noProof/>
          </w:rPr>
          <w:t>OTPAD</w:t>
        </w:r>
        <w:r w:rsidR="002B625C">
          <w:rPr>
            <w:noProof/>
            <w:webHidden/>
          </w:rPr>
          <w:tab/>
        </w:r>
        <w:r w:rsidR="002B625C">
          <w:rPr>
            <w:noProof/>
            <w:webHidden/>
          </w:rPr>
          <w:fldChar w:fldCharType="begin"/>
        </w:r>
        <w:r w:rsidR="002B625C">
          <w:rPr>
            <w:noProof/>
            <w:webHidden/>
          </w:rPr>
          <w:instrText xml:space="preserve"> PAGEREF _Toc69810237 \h </w:instrText>
        </w:r>
        <w:r w:rsidR="002B625C">
          <w:rPr>
            <w:noProof/>
            <w:webHidden/>
          </w:rPr>
        </w:r>
        <w:r w:rsidR="002B625C">
          <w:rPr>
            <w:noProof/>
            <w:webHidden/>
          </w:rPr>
          <w:fldChar w:fldCharType="separate"/>
        </w:r>
        <w:r>
          <w:rPr>
            <w:noProof/>
            <w:webHidden/>
          </w:rPr>
          <w:t>95</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38" w:history="1">
        <w:r w:rsidR="002B625C" w:rsidRPr="008C78DA">
          <w:rPr>
            <w:rStyle w:val="Hyperlink"/>
            <w:rFonts w:cs="Times New Roman"/>
            <w:noProof/>
          </w:rPr>
          <w:t>PRILOG IV.  -  REZULTATI ANALIZE OSJETLJIVOSTI</w:t>
        </w:r>
        <w:r w:rsidR="002B625C">
          <w:rPr>
            <w:noProof/>
            <w:webHidden/>
          </w:rPr>
          <w:tab/>
        </w:r>
        <w:r w:rsidR="002B625C">
          <w:rPr>
            <w:noProof/>
            <w:webHidden/>
          </w:rPr>
          <w:fldChar w:fldCharType="begin"/>
        </w:r>
        <w:r w:rsidR="002B625C">
          <w:rPr>
            <w:noProof/>
            <w:webHidden/>
          </w:rPr>
          <w:instrText xml:space="preserve"> PAGEREF _Toc69810238 \h </w:instrText>
        </w:r>
        <w:r w:rsidR="002B625C">
          <w:rPr>
            <w:noProof/>
            <w:webHidden/>
          </w:rPr>
        </w:r>
        <w:r w:rsidR="002B625C">
          <w:rPr>
            <w:noProof/>
            <w:webHidden/>
          </w:rPr>
          <w:fldChar w:fldCharType="separate"/>
        </w:r>
        <w:r>
          <w:rPr>
            <w:noProof/>
            <w:webHidden/>
          </w:rPr>
          <w:t>96</w:t>
        </w:r>
        <w:r w:rsidR="002B625C">
          <w:rPr>
            <w:noProof/>
            <w:webHidden/>
          </w:rPr>
          <w:fldChar w:fldCharType="end"/>
        </w:r>
      </w:hyperlink>
    </w:p>
    <w:p w:rsidR="002B625C" w:rsidRDefault="00847326">
      <w:pPr>
        <w:pStyle w:val="TOC1"/>
        <w:tabs>
          <w:tab w:val="right" w:leader="dot" w:pos="9060"/>
        </w:tabs>
        <w:rPr>
          <w:rFonts w:asciiTheme="minorHAnsi" w:eastAsiaTheme="minorEastAsia" w:hAnsiTheme="minorHAnsi" w:cstheme="minorBidi"/>
          <w:noProof/>
          <w:szCs w:val="22"/>
        </w:rPr>
      </w:pPr>
      <w:hyperlink w:anchor="_Toc69810239" w:history="1">
        <w:r w:rsidR="002B625C" w:rsidRPr="008C78DA">
          <w:rPr>
            <w:rStyle w:val="Hyperlink"/>
            <w:rFonts w:cs="Times New Roman"/>
            <w:noProof/>
          </w:rPr>
          <w:t>PRILOG V. - MJERE NA OSNOVU KOJIH SU SE IZRADILI SCENARIJI</w:t>
        </w:r>
        <w:r w:rsidR="002B625C">
          <w:rPr>
            <w:noProof/>
            <w:webHidden/>
          </w:rPr>
          <w:tab/>
        </w:r>
        <w:r w:rsidR="002B625C">
          <w:rPr>
            <w:noProof/>
            <w:webHidden/>
          </w:rPr>
          <w:fldChar w:fldCharType="begin"/>
        </w:r>
        <w:r w:rsidR="002B625C">
          <w:rPr>
            <w:noProof/>
            <w:webHidden/>
          </w:rPr>
          <w:instrText xml:space="preserve"> PAGEREF _Toc69810239 \h </w:instrText>
        </w:r>
        <w:r w:rsidR="002B625C">
          <w:rPr>
            <w:noProof/>
            <w:webHidden/>
          </w:rPr>
        </w:r>
        <w:r w:rsidR="002B625C">
          <w:rPr>
            <w:noProof/>
            <w:webHidden/>
          </w:rPr>
          <w:fldChar w:fldCharType="separate"/>
        </w:r>
        <w:r>
          <w:rPr>
            <w:noProof/>
            <w:webHidden/>
          </w:rPr>
          <w:t>98</w:t>
        </w:r>
        <w:r w:rsidR="002B625C">
          <w:rPr>
            <w:noProof/>
            <w:webHidden/>
          </w:rPr>
          <w:fldChar w:fldCharType="end"/>
        </w:r>
      </w:hyperlink>
    </w:p>
    <w:p w:rsidR="007D4A93" w:rsidRPr="00F01191" w:rsidRDefault="00EF0BEB">
      <w:pPr>
        <w:rPr>
          <w:rFonts w:cs="Times New Roman"/>
        </w:rPr>
        <w:sectPr w:rsidR="007D4A93" w:rsidRPr="00F01191">
          <w:footerReference w:type="default" r:id="rId9"/>
          <w:pgSz w:w="11906" w:h="16838"/>
          <w:pgMar w:top="568" w:right="1418" w:bottom="1418" w:left="1418" w:header="624" w:footer="624" w:gutter="0"/>
          <w:cols w:space="720"/>
          <w:docGrid w:linePitch="360"/>
        </w:sectPr>
      </w:pPr>
      <w:r w:rsidRPr="00F01191">
        <w:rPr>
          <w:rFonts w:cs="Times New Roman"/>
        </w:rPr>
        <w:fldChar w:fldCharType="end"/>
      </w:r>
    </w:p>
    <w:p w:rsidR="007D4A93" w:rsidRPr="00654E3B" w:rsidRDefault="00EF0BEB">
      <w:pPr>
        <w:pStyle w:val="Heading1"/>
        <w:rPr>
          <w:rFonts w:ascii="Times New Roman" w:hAnsi="Times New Roman" w:cs="Times New Roman"/>
        </w:rPr>
      </w:pPr>
      <w:bookmarkStart w:id="2" w:name="_Toc20841325"/>
      <w:bookmarkStart w:id="3" w:name="_Toc20841431"/>
      <w:bookmarkStart w:id="4" w:name="_Toc69810139"/>
      <w:r w:rsidRPr="00F01191">
        <w:rPr>
          <w:rFonts w:ascii="Times New Roman" w:hAnsi="Times New Roman" w:cs="Times New Roman"/>
        </w:rPr>
        <w:lastRenderedPageBreak/>
        <w:t>POPIS KRATICA</w:t>
      </w:r>
      <w:bookmarkEnd w:id="2"/>
      <w:bookmarkEnd w:id="3"/>
      <w:bookmarkEnd w:id="4"/>
    </w:p>
    <w:p w:rsidR="007D4A93" w:rsidRPr="00654E3B" w:rsidRDefault="007D4A93">
      <w:pPr>
        <w:rPr>
          <w:rFonts w:cs="Times New Roman"/>
        </w:rPr>
      </w:pPr>
    </w:p>
    <w:tbl>
      <w:tblPr>
        <w:tblStyle w:val="TableGridNew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3776"/>
        <w:gridCol w:w="3788"/>
      </w:tblGrid>
      <w:tr w:rsidR="007D4A93" w:rsidRPr="00654E3B" w:rsidTr="007D4A9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bottom w:val="single" w:sz="4" w:space="0" w:color="auto"/>
              <w:right w:val="single" w:sz="4" w:space="0" w:color="auto"/>
            </w:tcBorders>
            <w:shd w:val="clear" w:color="auto" w:fill="auto"/>
          </w:tcPr>
          <w:p w:rsidR="007D4A93" w:rsidRPr="00654E3B" w:rsidRDefault="00EF0BEB">
            <w:pPr>
              <w:rPr>
                <w:rFonts w:cs="Times New Roman"/>
                <w:b/>
                <w:sz w:val="22"/>
              </w:rPr>
            </w:pPr>
            <w:r w:rsidRPr="00654E3B">
              <w:rPr>
                <w:rFonts w:cs="Times New Roman"/>
                <w:b/>
                <w:sz w:val="22"/>
              </w:rPr>
              <w:t>Kratica</w:t>
            </w:r>
          </w:p>
          <w:p w:rsidR="007D4A93" w:rsidRPr="00654E3B" w:rsidRDefault="007D4A93">
            <w:pPr>
              <w:rPr>
                <w:rFonts w:cs="Times New Roman"/>
                <w:b/>
                <w:sz w:val="22"/>
              </w:rPr>
            </w:pPr>
          </w:p>
        </w:tc>
        <w:tc>
          <w:tcPr>
            <w:tcW w:w="7564" w:type="dxa"/>
            <w:gridSpan w:val="2"/>
            <w:tcBorders>
              <w:left w:val="single" w:sz="4" w:space="0" w:color="auto"/>
            </w:tcBorders>
            <w:shd w:val="clear" w:color="auto" w:fill="auto"/>
          </w:tcPr>
          <w:p w:rsidR="007D4A93" w:rsidRPr="00654E3B" w:rsidRDefault="00EF0BEB">
            <w:pPr>
              <w:cnfStyle w:val="100000000000" w:firstRow="1" w:lastRow="0" w:firstColumn="0" w:lastColumn="0" w:oddVBand="0" w:evenVBand="0" w:oddHBand="0" w:evenHBand="0" w:firstRowFirstColumn="0" w:firstRowLastColumn="0" w:lastRowFirstColumn="0" w:lastRowLastColumn="0"/>
              <w:rPr>
                <w:rFonts w:cs="Times New Roman"/>
                <w:b/>
                <w:sz w:val="22"/>
              </w:rPr>
            </w:pPr>
            <w:r w:rsidRPr="00654E3B">
              <w:rPr>
                <w:rFonts w:cs="Times New Roman"/>
                <w:b/>
                <w:sz w:val="22"/>
              </w:rPr>
              <w:t>Značenje / opis</w:t>
            </w:r>
          </w:p>
          <w:p w:rsidR="007D4A93" w:rsidRPr="00654E3B" w:rsidRDefault="007D4A93">
            <w:pPr>
              <w:cnfStyle w:val="100000000000" w:firstRow="1" w:lastRow="0" w:firstColumn="0" w:lastColumn="0" w:oddVBand="0" w:evenVBand="0" w:oddHBand="0" w:evenHBand="0" w:firstRowFirstColumn="0" w:firstRowLastColumn="0" w:lastRowFirstColumn="0" w:lastRowLastColumn="0"/>
              <w:rPr>
                <w:rFonts w:cs="Times New Roman"/>
                <w:b/>
                <w:sz w:val="22"/>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single" w:sz="4" w:space="0" w:color="auto"/>
            </w:tcBorders>
            <w:shd w:val="clear" w:color="auto" w:fill="auto"/>
          </w:tcPr>
          <w:p w:rsidR="007D4A93" w:rsidRPr="00654E3B" w:rsidRDefault="00EF0BEB">
            <w:pPr>
              <w:rPr>
                <w:rFonts w:cs="Times New Roman"/>
                <w:sz w:val="22"/>
              </w:rPr>
            </w:pPr>
            <w:r w:rsidRPr="00654E3B">
              <w:rPr>
                <w:rFonts w:cs="Times New Roman"/>
                <w:sz w:val="22"/>
              </w:rPr>
              <w:t xml:space="preserve">BDP </w:t>
            </w:r>
          </w:p>
        </w:tc>
        <w:tc>
          <w:tcPr>
            <w:tcW w:w="3776" w:type="dxa"/>
            <w:tcBorders>
              <w:right w:val="none" w:sz="4" w:space="0" w:color="000000"/>
            </w:tcBorders>
            <w:shd w:val="clear" w:color="auto" w:fill="auto"/>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Bruto domaći proizvod</w:t>
            </w:r>
          </w:p>
        </w:tc>
        <w:tc>
          <w:tcPr>
            <w:tcW w:w="3788" w:type="dxa"/>
            <w:tcBorders>
              <w:left w:val="none" w:sz="4" w:space="0" w:color="000000"/>
            </w:tcBorders>
            <w:shd w:val="clear" w:color="auto" w:fill="auto"/>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CCS</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Hvatanje i skladištenje ugljikovog dioksida</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654E3B">
              <w:rPr>
                <w:rFonts w:cs="Times New Roman"/>
                <w:sz w:val="22"/>
                <w:lang w:val="en-GB"/>
              </w:rPr>
              <w:t>Carbon Capture and Storage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EK</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Europska komisija</w:t>
            </w:r>
          </w:p>
        </w:tc>
        <w:tc>
          <w:tcPr>
            <w:tcW w:w="3788" w:type="dxa"/>
            <w:tcBorders>
              <w:left w:val="none" w:sz="4" w:space="0" w:color="000000"/>
            </w:tcBorders>
            <w:shd w:val="clear" w:color="auto" w:fill="auto"/>
            <w:vAlign w:val="center"/>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rsidR="007D4A93" w:rsidRPr="00654E3B" w:rsidRDefault="00EF0BEB">
            <w:pPr>
              <w:rPr>
                <w:rFonts w:cs="Times New Roman"/>
                <w:sz w:val="24"/>
                <w:szCs w:val="24"/>
              </w:rPr>
            </w:pPr>
            <w:r w:rsidRPr="00654E3B">
              <w:rPr>
                <w:rFonts w:cs="Times New Roman"/>
                <w:sz w:val="24"/>
                <w:szCs w:val="24"/>
              </w:rPr>
              <w:t>ESCO</w:t>
            </w:r>
          </w:p>
        </w:tc>
        <w:tc>
          <w:tcPr>
            <w:tcW w:w="3776" w:type="dxa"/>
            <w:tcBorders>
              <w:righ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4"/>
                <w:szCs w:val="24"/>
              </w:rPr>
            </w:pP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54E3B">
              <w:rPr>
                <w:rFonts w:cs="Times New Roman"/>
                <w:sz w:val="24"/>
                <w:szCs w:val="24"/>
                <w:lang w:val="en-GB"/>
              </w:rPr>
              <w:t>Energy Service Company</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4"/>
                <w:szCs w:val="24"/>
              </w:rPr>
            </w:pPr>
            <w:r w:rsidRPr="00654E3B">
              <w:rPr>
                <w:rFonts w:cs="Times New Roman"/>
                <w:sz w:val="24"/>
                <w:szCs w:val="24"/>
              </w:rPr>
              <w:t>ETS</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654E3B">
              <w:rPr>
                <w:rFonts w:cs="Times New Roman"/>
                <w:sz w:val="24"/>
                <w:szCs w:val="24"/>
              </w:rPr>
              <w:t>Sustav trgovanja emisijskim jedinicama</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4"/>
                <w:szCs w:val="24"/>
                <w:lang w:val="en-GB"/>
              </w:rPr>
            </w:pPr>
            <w:r w:rsidRPr="00654E3B">
              <w:rPr>
                <w:rFonts w:cs="Times New Roman"/>
                <w:sz w:val="24"/>
                <w:szCs w:val="24"/>
                <w:lang w:val="en-GB"/>
              </w:rPr>
              <w:t>Emissions Trading System</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4"/>
                <w:szCs w:val="24"/>
              </w:rPr>
            </w:pPr>
            <w:r w:rsidRPr="00654E3B">
              <w:rPr>
                <w:rFonts w:cs="Times New Roman"/>
                <w:sz w:val="24"/>
                <w:szCs w:val="24"/>
              </w:rPr>
              <w:t>EU</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654E3B">
              <w:rPr>
                <w:rFonts w:cs="Times New Roman"/>
                <w:sz w:val="24"/>
                <w:szCs w:val="24"/>
              </w:rPr>
              <w:t>Europska unija</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4"/>
                <w:szCs w:val="24"/>
                <w:lang w:val="en-GB"/>
              </w:rPr>
            </w:pPr>
            <w:r w:rsidRPr="00654E3B">
              <w:rPr>
                <w:rFonts w:cs="Times New Roman"/>
                <w:sz w:val="24"/>
                <w:szCs w:val="24"/>
                <w:lang w:val="en-GB"/>
              </w:rPr>
              <w:t>European Union</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rsidR="007D4A93" w:rsidRPr="00654E3B" w:rsidRDefault="00EF0BEB">
            <w:pPr>
              <w:rPr>
                <w:rFonts w:cs="Times New Roman"/>
                <w:sz w:val="22"/>
              </w:rPr>
            </w:pPr>
            <w:r w:rsidRPr="00654E3B">
              <w:rPr>
                <w:rFonts w:cs="Times New Roman"/>
                <w:sz w:val="22"/>
              </w:rPr>
              <w:t>FRL</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Referentna razina za šume</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Forest Reference Level</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FZOEU</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Fond za zaštitu okoliša i energetsku učinkovitost</w:t>
            </w:r>
          </w:p>
        </w:tc>
        <w:tc>
          <w:tcPr>
            <w:tcW w:w="3788" w:type="dxa"/>
            <w:tcBorders>
              <w:lef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ICT</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Informacijska i komunikacijska tehnologija</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Information and Communications Technology</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IPCC</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Međuvladin panel o klimatskim promjenama</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654E3B">
              <w:rPr>
                <w:rFonts w:cs="Times New Roman"/>
                <w:sz w:val="22"/>
                <w:lang w:val="en-GB"/>
              </w:rPr>
              <w:t>Intergovernmental Panel on Climate Change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LULUCF</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Korištenje zemljišta, promjena korištenja zemljišta i šumarstvo</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Land Use, Land Use Change and Forestry</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shd w:val="clear" w:color="auto" w:fill="auto"/>
            <w:vAlign w:val="center"/>
          </w:tcPr>
          <w:p w:rsidR="007D4A93" w:rsidRPr="00654E3B" w:rsidRDefault="00173BBF" w:rsidP="00173BBF">
            <w:pPr>
              <w:rPr>
                <w:rFonts w:cs="Times New Roman"/>
                <w:sz w:val="22"/>
              </w:rPr>
            </w:pPr>
            <w:r w:rsidRPr="00654E3B">
              <w:rPr>
                <w:rFonts w:cs="Times New Roman"/>
                <w:sz w:val="22"/>
              </w:rPr>
              <w:t>MPGI</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Ministarstvo prostornoga uređenja, graditeljstva i državne imovine</w:t>
            </w:r>
          </w:p>
        </w:tc>
        <w:tc>
          <w:tcPr>
            <w:tcW w:w="3788" w:type="dxa"/>
            <w:tcBorders>
              <w:lef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MINGOR</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Ministarstvo gospodarstva i održivog razvoja</w:t>
            </w:r>
          </w:p>
        </w:tc>
        <w:tc>
          <w:tcPr>
            <w:tcW w:w="3788" w:type="dxa"/>
            <w:tcBorders>
              <w:left w:val="none" w:sz="4" w:space="0" w:color="000000"/>
            </w:tcBorders>
            <w:shd w:val="clear" w:color="auto" w:fill="auto"/>
            <w:vAlign w:val="center"/>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bottom w:val="single" w:sz="4" w:space="0" w:color="auto"/>
            </w:tcBorders>
            <w:shd w:val="clear" w:color="auto" w:fill="auto"/>
            <w:vAlign w:val="center"/>
          </w:tcPr>
          <w:p w:rsidR="007D4A93" w:rsidRPr="00654E3B" w:rsidRDefault="00EF0BEB">
            <w:pPr>
              <w:rPr>
                <w:rFonts w:cs="Times New Roman"/>
                <w:sz w:val="22"/>
              </w:rPr>
            </w:pPr>
            <w:r w:rsidRPr="00654E3B">
              <w:rPr>
                <w:rFonts w:cs="Times New Roman"/>
                <w:sz w:val="22"/>
              </w:rPr>
              <w:t>NECP</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Integrirani nacionalni energetsko klimatski plan</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654E3B">
              <w:rPr>
                <w:rFonts w:cs="Times New Roman"/>
                <w:sz w:val="22"/>
                <w:lang w:val="en-GB"/>
              </w:rPr>
              <w:t>National Energy and Climate Plan</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tcBorders>
            <w:shd w:val="clear" w:color="auto" w:fill="auto"/>
            <w:vAlign w:val="center"/>
          </w:tcPr>
          <w:p w:rsidR="007D4A93" w:rsidRPr="00654E3B" w:rsidRDefault="00EF0BEB">
            <w:pPr>
              <w:rPr>
                <w:rFonts w:cs="Times New Roman"/>
                <w:sz w:val="22"/>
              </w:rPr>
            </w:pPr>
            <w:r w:rsidRPr="00654E3B">
              <w:rPr>
                <w:rFonts w:cs="Times New Roman"/>
                <w:sz w:val="22"/>
              </w:rPr>
              <w:t xml:space="preserve">nZEB </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Zgrade gotovo nulte energije</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Nearly Zero Energy Building</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OIE</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Obnovljivi izvori energije</w:t>
            </w:r>
          </w:p>
        </w:tc>
        <w:tc>
          <w:tcPr>
            <w:tcW w:w="3788" w:type="dxa"/>
            <w:tcBorders>
              <w:lef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SPP</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Stlačeni prirodni plin</w:t>
            </w:r>
          </w:p>
        </w:tc>
        <w:tc>
          <w:tcPr>
            <w:tcW w:w="3788" w:type="dxa"/>
            <w:tcBorders>
              <w:left w:val="none" w:sz="4" w:space="0" w:color="000000"/>
            </w:tcBorders>
            <w:shd w:val="clear" w:color="auto" w:fill="auto"/>
            <w:vAlign w:val="center"/>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UNDP</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Program Ujedinjenih naroda za razvoj</w:t>
            </w:r>
          </w:p>
        </w:tc>
        <w:tc>
          <w:tcPr>
            <w:tcW w:w="3788" w:type="dxa"/>
            <w:tcBorders>
              <w:lef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r w:rsidRPr="00654E3B">
              <w:rPr>
                <w:rFonts w:cs="Times New Roman"/>
                <w:sz w:val="22"/>
                <w:lang w:val="en-GB"/>
              </w:rPr>
              <w:t>United Nations Development Programme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UNFCCC</w:t>
            </w:r>
          </w:p>
        </w:tc>
        <w:tc>
          <w:tcPr>
            <w:tcW w:w="3776" w:type="dxa"/>
            <w:tcBorders>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Okvirna konvencija Ujedinjenih naroda o promjeni klime</w:t>
            </w:r>
          </w:p>
        </w:tc>
        <w:tc>
          <w:tcPr>
            <w:tcW w:w="3788" w:type="dxa"/>
            <w:tcBorders>
              <w:lef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r w:rsidRPr="00654E3B">
              <w:rPr>
                <w:rFonts w:cs="Times New Roman"/>
                <w:sz w:val="22"/>
                <w:lang w:val="en-GB"/>
              </w:rPr>
              <w:t>United Nations Framework - Convention on Climate Change</w:t>
            </w:r>
            <w:r w:rsidRPr="00654E3B">
              <w:rPr>
                <w:rFonts w:cs="Times New Roman"/>
                <w:sz w:val="22"/>
                <w:cs/>
                <w:lang w:val="en-GB"/>
              </w:rPr>
              <w:t>‎</w:t>
            </w: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none" w:sz="0" w:space="0" w:color="auto"/>
            </w:tcBorders>
            <w:shd w:val="clear" w:color="auto" w:fill="auto"/>
            <w:vAlign w:val="center"/>
          </w:tcPr>
          <w:p w:rsidR="007D4A93" w:rsidRPr="00654E3B" w:rsidRDefault="00EF0BEB">
            <w:pPr>
              <w:rPr>
                <w:rFonts w:cs="Times New Roman"/>
                <w:sz w:val="22"/>
              </w:rPr>
            </w:pPr>
            <w:r w:rsidRPr="00654E3B">
              <w:rPr>
                <w:rFonts w:cs="Times New Roman"/>
                <w:sz w:val="22"/>
              </w:rPr>
              <w:t>UNP</w:t>
            </w:r>
          </w:p>
        </w:tc>
        <w:tc>
          <w:tcPr>
            <w:tcW w:w="3776" w:type="dxa"/>
            <w:tcBorders>
              <w:right w:val="none" w:sz="4" w:space="0" w:color="000000"/>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sz w:val="22"/>
              </w:rPr>
              <w:t>Ukapljeni naftni plin</w:t>
            </w:r>
          </w:p>
        </w:tc>
        <w:tc>
          <w:tcPr>
            <w:tcW w:w="3788" w:type="dxa"/>
            <w:tcBorders>
              <w:left w:val="none" w:sz="4" w:space="0" w:color="000000"/>
            </w:tcBorders>
            <w:shd w:val="clear" w:color="auto" w:fill="auto"/>
            <w:vAlign w:val="center"/>
          </w:tcPr>
          <w:p w:rsidR="007D4A93" w:rsidRPr="00654E3B" w:rsidRDefault="007D4A93">
            <w:pPr>
              <w:cnfStyle w:val="000000000000" w:firstRow="0" w:lastRow="0" w:firstColumn="0" w:lastColumn="0" w:oddVBand="0" w:evenVBand="0" w:oddHBand="0" w:evenHBand="0" w:firstRowFirstColumn="0" w:firstRowLastColumn="0" w:lastRowFirstColumn="0" w:lastRowLastColumn="0"/>
              <w:rPr>
                <w:rFonts w:cs="Times New Roman"/>
                <w:sz w:val="22"/>
                <w:lang w:val="en-GB"/>
              </w:rPr>
            </w:pP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none" w:sz="0" w:space="0" w:color="auto"/>
              <w:bottom w:val="single" w:sz="4" w:space="0" w:color="auto"/>
            </w:tcBorders>
            <w:shd w:val="clear" w:color="auto" w:fill="auto"/>
            <w:vAlign w:val="center"/>
          </w:tcPr>
          <w:p w:rsidR="007D4A93" w:rsidRPr="00654E3B" w:rsidRDefault="00EF0BEB">
            <w:pPr>
              <w:rPr>
                <w:rFonts w:cs="Times New Roman"/>
                <w:sz w:val="22"/>
              </w:rPr>
            </w:pPr>
            <w:r w:rsidRPr="00654E3B">
              <w:rPr>
                <w:rFonts w:cs="Times New Roman"/>
                <w:sz w:val="22"/>
              </w:rPr>
              <w:t>UPP</w:t>
            </w:r>
          </w:p>
        </w:tc>
        <w:tc>
          <w:tcPr>
            <w:tcW w:w="3776" w:type="dxa"/>
            <w:tcBorders>
              <w:bottom w:val="single" w:sz="4" w:space="0" w:color="auto"/>
              <w:right w:val="none" w:sz="4" w:space="0" w:color="000000"/>
            </w:tcBorders>
            <w:shd w:val="clear" w:color="auto" w:fill="auto"/>
            <w:vAlign w:val="center"/>
          </w:tcPr>
          <w:p w:rsidR="007D4A93" w:rsidRPr="00654E3B" w:rsidRDefault="00EF0BEB">
            <w:pPr>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sz w:val="22"/>
              </w:rPr>
              <w:t>Ukapljeni prirodni plin</w:t>
            </w:r>
          </w:p>
        </w:tc>
        <w:tc>
          <w:tcPr>
            <w:tcW w:w="3788" w:type="dxa"/>
            <w:tcBorders>
              <w:left w:val="none" w:sz="4" w:space="0" w:color="000000"/>
              <w:bottom w:val="single" w:sz="4" w:space="0" w:color="auto"/>
            </w:tcBorders>
            <w:shd w:val="clear" w:color="auto" w:fill="auto"/>
            <w:vAlign w:val="center"/>
          </w:tcPr>
          <w:p w:rsidR="007D4A93" w:rsidRPr="00654E3B" w:rsidRDefault="007D4A93">
            <w:pPr>
              <w:cnfStyle w:val="000000100000" w:firstRow="0" w:lastRow="0" w:firstColumn="0" w:lastColumn="0" w:oddVBand="0" w:evenVBand="0" w:oddHBand="1" w:evenHBand="0" w:firstRowFirstColumn="0" w:firstRowLastColumn="0" w:lastRowFirstColumn="0" w:lastRowLastColumn="0"/>
              <w:rPr>
                <w:rFonts w:cs="Times New Roman"/>
                <w:sz w:val="22"/>
                <w:lang w:val="en-GB"/>
              </w:rPr>
            </w:pPr>
          </w:p>
        </w:tc>
      </w:tr>
      <w:tr w:rsidR="007D4A93" w:rsidRPr="00654E3B" w:rsidTr="007D4A93">
        <w:trPr>
          <w:trHeight w:val="454"/>
        </w:trPr>
        <w:tc>
          <w:tcPr>
            <w:cnfStyle w:val="001000000000" w:firstRow="0" w:lastRow="0" w:firstColumn="1" w:lastColumn="0" w:oddVBand="0" w:evenVBand="0" w:oddHBand="0" w:evenHBand="0" w:firstRowFirstColumn="0" w:firstRowLastColumn="0" w:lastRowFirstColumn="0" w:lastRowLastColumn="0"/>
            <w:tcW w:w="1496" w:type="dxa"/>
            <w:tcBorders>
              <w:top w:val="single" w:sz="4" w:space="0" w:color="auto"/>
              <w:left w:val="single" w:sz="4" w:space="0" w:color="auto"/>
              <w:right w:val="single" w:sz="4" w:space="0" w:color="auto"/>
            </w:tcBorders>
            <w:shd w:val="clear" w:color="auto" w:fill="auto"/>
            <w:vAlign w:val="center"/>
          </w:tcPr>
          <w:p w:rsidR="007D4A93" w:rsidRPr="00654E3B" w:rsidRDefault="00EF0BEB">
            <w:pPr>
              <w:rPr>
                <w:rFonts w:cs="Times New Roman"/>
                <w:sz w:val="22"/>
              </w:rPr>
            </w:pPr>
            <w:r w:rsidRPr="00654E3B">
              <w:rPr>
                <w:rFonts w:cs="Times New Roman"/>
                <w:sz w:val="22"/>
              </w:rPr>
              <w:t>VFO</w:t>
            </w:r>
          </w:p>
        </w:tc>
        <w:tc>
          <w:tcPr>
            <w:tcW w:w="7564" w:type="dxa"/>
            <w:gridSpan w:val="2"/>
            <w:tcBorders>
              <w:top w:val="single" w:sz="4" w:space="0" w:color="auto"/>
              <w:left w:val="single" w:sz="4" w:space="0" w:color="auto"/>
            </w:tcBorders>
            <w:shd w:val="clear" w:color="auto" w:fill="auto"/>
            <w:vAlign w:val="center"/>
          </w:tcPr>
          <w:p w:rsidR="007D4A93" w:rsidRPr="00654E3B" w:rsidRDefault="00EF0BEB">
            <w:pPr>
              <w:cnfStyle w:val="000000000000" w:firstRow="0" w:lastRow="0" w:firstColumn="0" w:lastColumn="0" w:oddVBand="0" w:evenVBand="0" w:oddHBand="0" w:evenHBand="0" w:firstRowFirstColumn="0" w:firstRowLastColumn="0" w:lastRowFirstColumn="0" w:lastRowLastColumn="0"/>
              <w:rPr>
                <w:rFonts w:cs="Times New Roman"/>
                <w:bCs/>
                <w:sz w:val="22"/>
                <w:shd w:val="clear" w:color="auto" w:fill="FFFFFF"/>
              </w:rPr>
            </w:pPr>
            <w:r w:rsidRPr="00654E3B">
              <w:rPr>
                <w:rFonts w:cs="Times New Roman"/>
                <w:bCs/>
                <w:sz w:val="22"/>
                <w:shd w:val="clear" w:color="auto" w:fill="FFFFFF"/>
              </w:rPr>
              <w:t>Višegodišnji financijski okvir</w:t>
            </w:r>
          </w:p>
        </w:tc>
      </w:tr>
    </w:tbl>
    <w:p w:rsidR="007D4A93" w:rsidRPr="00654E3B" w:rsidRDefault="00EF0BEB">
      <w:pPr>
        <w:rPr>
          <w:rFonts w:eastAsia="Calibri Light" w:cs="Times New Roman"/>
          <w:b/>
          <w:bCs/>
          <w:caps/>
          <w:spacing w:val="4"/>
          <w:sz w:val="28"/>
          <w:szCs w:val="28"/>
        </w:rPr>
      </w:pPr>
      <w:bookmarkStart w:id="5" w:name="_Toc431295827"/>
      <w:bookmarkStart w:id="6" w:name="_Toc431296296"/>
      <w:bookmarkStart w:id="7" w:name="_Toc431296390"/>
      <w:bookmarkStart w:id="8" w:name="_Toc431893685"/>
      <w:bookmarkStart w:id="9" w:name="_Toc433184562"/>
      <w:bookmarkStart w:id="10" w:name="_Toc433197386"/>
      <w:bookmarkStart w:id="11" w:name="_Toc433607976"/>
      <w:bookmarkStart w:id="12" w:name="_Toc433608145"/>
      <w:bookmarkStart w:id="13" w:name="_Toc433612040"/>
      <w:bookmarkStart w:id="14" w:name="_Toc433612206"/>
      <w:bookmarkStart w:id="15" w:name="_Toc433612372"/>
      <w:bookmarkStart w:id="16" w:name="_Toc433612562"/>
      <w:bookmarkStart w:id="17" w:name="_Toc433612728"/>
      <w:bookmarkStart w:id="18" w:name="_Toc433717024"/>
      <w:bookmarkStart w:id="19" w:name="_Toc433717227"/>
      <w:bookmarkStart w:id="20" w:name="_Toc433749770"/>
      <w:bookmarkStart w:id="21" w:name="_Toc433750039"/>
      <w:bookmarkStart w:id="22" w:name="_Toc433791557"/>
      <w:bookmarkStart w:id="23" w:name="_Toc433791852"/>
      <w:bookmarkStart w:id="24" w:name="_Toc433800111"/>
      <w:bookmarkStart w:id="25" w:name="_Toc433802903"/>
      <w:bookmarkStart w:id="26" w:name="_Toc433896702"/>
      <w:bookmarkStart w:id="27" w:name="_Toc433897126"/>
      <w:bookmarkStart w:id="28" w:name="_Toc433900608"/>
      <w:bookmarkStart w:id="29" w:name="_Toc433901032"/>
      <w:bookmarkStart w:id="30" w:name="_Toc433902670"/>
      <w:bookmarkStart w:id="31" w:name="_Toc433903095"/>
      <w:bookmarkStart w:id="32" w:name="_Toc433903521"/>
      <w:bookmarkStart w:id="33" w:name="_Toc433923170"/>
      <w:bookmarkStart w:id="34" w:name="_Toc433926921"/>
      <w:bookmarkStart w:id="35" w:name="_Toc433927353"/>
      <w:bookmarkStart w:id="36" w:name="_Toc445809518"/>
      <w:bookmarkStart w:id="37" w:name="_Toc445809956"/>
      <w:bookmarkStart w:id="38" w:name="_Toc445810783"/>
      <w:bookmarkStart w:id="39" w:name="_Toc445811173"/>
      <w:bookmarkStart w:id="40" w:name="_Toc445813456"/>
      <w:bookmarkStart w:id="41" w:name="_Toc445813848"/>
      <w:bookmarkStart w:id="42" w:name="_Toc445814552"/>
      <w:bookmarkStart w:id="43" w:name="_Toc445814982"/>
      <w:bookmarkStart w:id="44" w:name="_Toc445815850"/>
      <w:bookmarkStart w:id="45" w:name="_Toc445816279"/>
      <w:bookmarkStart w:id="46" w:name="_Toc445816709"/>
      <w:bookmarkStart w:id="47" w:name="_Toc445817140"/>
      <w:bookmarkStart w:id="48" w:name="_Toc445817572"/>
      <w:bookmarkStart w:id="49" w:name="_Toc445819579"/>
      <w:bookmarkStart w:id="50" w:name="_Toc445820169"/>
      <w:bookmarkStart w:id="51" w:name="_Toc445900615"/>
      <w:bookmarkStart w:id="52" w:name="_Toc445901537"/>
      <w:bookmarkStart w:id="53" w:name="_Toc445902012"/>
      <w:bookmarkStart w:id="54" w:name="_Toc445902486"/>
      <w:bookmarkStart w:id="55" w:name="_Toc445903638"/>
      <w:bookmarkStart w:id="56" w:name="_Toc445987725"/>
      <w:bookmarkStart w:id="57" w:name="_Toc446073611"/>
      <w:bookmarkStart w:id="58" w:name="_Toc446319445"/>
      <w:bookmarkStart w:id="59" w:name="_Toc446320053"/>
      <w:bookmarkStart w:id="60" w:name="_Toc450897584"/>
      <w:bookmarkStart w:id="61" w:name="_Toc450904968"/>
      <w:bookmarkStart w:id="62" w:name="_Toc450905444"/>
      <w:bookmarkStart w:id="63" w:name="_Toc450906116"/>
      <w:bookmarkStart w:id="64" w:name="_Toc450906592"/>
      <w:bookmarkStart w:id="65" w:name="_Toc450907240"/>
      <w:bookmarkStart w:id="66" w:name="_Toc450907953"/>
      <w:bookmarkStart w:id="67" w:name="_Toc450908387"/>
      <w:bookmarkStart w:id="68" w:name="_Toc450908824"/>
      <w:bookmarkStart w:id="69" w:name="_Toc450909272"/>
      <w:bookmarkStart w:id="70" w:name="_Toc450909724"/>
      <w:bookmarkStart w:id="71" w:name="_Toc450910177"/>
      <w:bookmarkStart w:id="72" w:name="_Toc451152451"/>
      <w:bookmarkStart w:id="73" w:name="_Toc451158459"/>
      <w:bookmarkStart w:id="74" w:name="_Toc451161184"/>
      <w:bookmarkStart w:id="75" w:name="_Toc451161941"/>
      <w:bookmarkStart w:id="76" w:name="_Toc451167243"/>
      <w:bookmarkStart w:id="77" w:name="_Toc451168000"/>
      <w:bookmarkStart w:id="78" w:name="_Toc451168477"/>
      <w:bookmarkStart w:id="79" w:name="_Toc451168954"/>
      <w:bookmarkStart w:id="80" w:name="_Toc451776654"/>
      <w:bookmarkStart w:id="81" w:name="_Toc474822617"/>
      <w:bookmarkStart w:id="82" w:name="_Toc474831449"/>
      <w:bookmarkStart w:id="83" w:name="_Toc474857811"/>
      <w:bookmarkStart w:id="84" w:name="_Toc474929463"/>
      <w:bookmarkStart w:id="85" w:name="_Toc476733711"/>
      <w:bookmarkStart w:id="86" w:name="_Toc481656765"/>
      <w:bookmarkStart w:id="87" w:name="_Toc506208663"/>
      <w:bookmarkStart w:id="88" w:name="_Toc506278885"/>
      <w:bookmarkStart w:id="89" w:name="_Toc506359959"/>
      <w:bookmarkStart w:id="90" w:name="_Toc506378357"/>
      <w:bookmarkStart w:id="91" w:name="_Toc506450102"/>
      <w:bookmarkStart w:id="92" w:name="_Toc506462168"/>
      <w:bookmarkStart w:id="93" w:name="_Toc512425452"/>
      <w:bookmarkStart w:id="94" w:name="_Toc512435002"/>
      <w:bookmarkStart w:id="95" w:name="_Toc512851066"/>
      <w:bookmarkStart w:id="96" w:name="_Toc512852021"/>
      <w:bookmarkStart w:id="97" w:name="_Toc512868494"/>
      <w:bookmarkStart w:id="98" w:name="_Toc513443274"/>
      <w:bookmarkStart w:id="99" w:name="_Toc513461243"/>
      <w:bookmarkStart w:id="100" w:name="_Toc533155596"/>
      <w:bookmarkStart w:id="101" w:name="_Toc533402046"/>
      <w:bookmarkStart w:id="102" w:name="_Toc533155597"/>
      <w:bookmarkStart w:id="103" w:name="_Toc533402047"/>
      <w:bookmarkStart w:id="104" w:name="_Toc20841282"/>
      <w:bookmarkStart w:id="105" w:name="_Toc2084138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654E3B">
        <w:rPr>
          <w:rFonts w:cs="Times New Roman"/>
        </w:rPr>
        <w:br w:type="page"/>
      </w:r>
    </w:p>
    <w:p w:rsidR="007D4A93" w:rsidRPr="00654E3B" w:rsidRDefault="00EF0BEB">
      <w:pPr>
        <w:pStyle w:val="Heading1"/>
        <w:rPr>
          <w:rFonts w:ascii="Times New Roman" w:hAnsi="Times New Roman" w:cs="Times New Roman"/>
        </w:rPr>
      </w:pPr>
      <w:bookmarkStart w:id="106" w:name="_Toc69810140"/>
      <w:r w:rsidRPr="00654E3B">
        <w:rPr>
          <w:rFonts w:ascii="Times New Roman" w:hAnsi="Times New Roman" w:cs="Times New Roman"/>
        </w:rPr>
        <w:lastRenderedPageBreak/>
        <w:t>1.</w:t>
      </w:r>
      <w:r w:rsidRPr="00654E3B">
        <w:rPr>
          <w:rFonts w:ascii="Times New Roman" w:hAnsi="Times New Roman" w:cs="Times New Roman"/>
        </w:rPr>
        <w:tab/>
        <w:t>PREGLED I PROCES RAZVOJA STRATEGIJE</w:t>
      </w:r>
      <w:bookmarkEnd w:id="104"/>
      <w:bookmarkEnd w:id="105"/>
      <w:bookmarkEnd w:id="106"/>
      <w:r w:rsidRPr="00654E3B">
        <w:rPr>
          <w:rFonts w:ascii="Times New Roman" w:hAnsi="Times New Roman" w:cs="Times New Roman"/>
        </w:rPr>
        <w:t xml:space="preserve"> </w:t>
      </w:r>
    </w:p>
    <w:p w:rsidR="007D4A93" w:rsidRPr="00654E3B" w:rsidRDefault="00EF0BEB">
      <w:pPr>
        <w:pStyle w:val="Heading2"/>
        <w:rPr>
          <w:rFonts w:ascii="Times New Roman" w:hAnsi="Times New Roman" w:cs="Times New Roman"/>
        </w:rPr>
      </w:pPr>
      <w:bookmarkStart w:id="107" w:name="_Toc20841283"/>
      <w:bookmarkStart w:id="108" w:name="_Toc20841389"/>
      <w:bookmarkStart w:id="109" w:name="_Toc69810141"/>
      <w:r w:rsidRPr="00654E3B">
        <w:rPr>
          <w:rFonts w:ascii="Times New Roman" w:hAnsi="Times New Roman" w:cs="Times New Roman"/>
        </w:rPr>
        <w:t>1.1.</w:t>
      </w:r>
      <w:r w:rsidRPr="00654E3B">
        <w:rPr>
          <w:rFonts w:ascii="Times New Roman" w:hAnsi="Times New Roman" w:cs="Times New Roman"/>
        </w:rPr>
        <w:tab/>
        <w:t>SAŽETAK</w:t>
      </w:r>
      <w:bookmarkEnd w:id="107"/>
      <w:bookmarkEnd w:id="108"/>
      <w:bookmarkEnd w:id="109"/>
    </w:p>
    <w:p w:rsidR="007D4A93" w:rsidRPr="00654E3B" w:rsidRDefault="007D4A93">
      <w:pPr>
        <w:rPr>
          <w:rFonts w:cs="Times New Roman"/>
        </w:rPr>
      </w:pPr>
    </w:p>
    <w:p w:rsidR="007D4A93" w:rsidRPr="00654E3B" w:rsidRDefault="00EF0BEB">
      <w:pPr>
        <w:rPr>
          <w:rFonts w:cs="Times New Roman"/>
          <w:i/>
          <w:u w:val="single"/>
        </w:rPr>
      </w:pPr>
      <w:r w:rsidRPr="00654E3B">
        <w:rPr>
          <w:rFonts w:cs="Times New Roman"/>
          <w:i/>
          <w:u w:val="single"/>
        </w:rPr>
        <w:t xml:space="preserve">Pravna osnova za izradu Strategije niskougljičnog razvoja Republike Hrvatske </w:t>
      </w:r>
    </w:p>
    <w:p w:rsidR="007D4A93" w:rsidRPr="00654E3B" w:rsidRDefault="00EF0BEB">
      <w:pPr>
        <w:rPr>
          <w:rFonts w:cs="Times New Roman"/>
        </w:rPr>
      </w:pPr>
      <w:r w:rsidRPr="00654E3B">
        <w:rPr>
          <w:rFonts w:cs="Times New Roman"/>
        </w:rPr>
        <w:t>Globalna promjena klime danas je jedan od najvećih izazova čovječanstva. Znanstveno je utvrđeno da su vodeći uzroci promjene klime povećana emisija stakleničkih plinova, najviše kao posljedica izgaranja fosilnih goriva i intenzivne poljoprivrede te sječ</w:t>
      </w:r>
      <w:r w:rsidR="00C31465" w:rsidRPr="00654E3B">
        <w:rPr>
          <w:rFonts w:cs="Times New Roman"/>
        </w:rPr>
        <w:t>e</w:t>
      </w:r>
      <w:r w:rsidRPr="00654E3B">
        <w:rPr>
          <w:rFonts w:cs="Times New Roman"/>
        </w:rPr>
        <w:t xml:space="preserve"> prašuma. </w:t>
      </w:r>
    </w:p>
    <w:p w:rsidR="007D4A93" w:rsidRPr="00654E3B" w:rsidRDefault="00EF0BEB">
      <w:pPr>
        <w:rPr>
          <w:rFonts w:cs="Times New Roman"/>
        </w:rPr>
      </w:pPr>
      <w:r w:rsidRPr="00654E3B">
        <w:rPr>
          <w:rFonts w:cs="Times New Roman"/>
        </w:rPr>
        <w:t>Žurna potreba djelovanja na ublažavanju klimatskih promjena prepoznata je na globalnoj razini i Republika Hrvatska treba pridonijeti u najvećoj mogućoj mjeri smanjenjem emisije stakleničkih plinova. Cilj Pariškog sporazuma o zadržavanja porasta temperature</w:t>
      </w:r>
      <w:r w:rsidR="00C31465" w:rsidRPr="00654E3B">
        <w:rPr>
          <w:rFonts w:cs="Times New Roman"/>
        </w:rPr>
        <w:t xml:space="preserve"> do najviše</w:t>
      </w:r>
      <w:r w:rsidRPr="00654E3B">
        <w:rPr>
          <w:rFonts w:cs="Times New Roman"/>
        </w:rPr>
        <w:t xml:space="preserve"> 2 °C, </w:t>
      </w:r>
      <w:r w:rsidR="00C31465" w:rsidRPr="00654E3B">
        <w:rPr>
          <w:rFonts w:cs="Times New Roman"/>
        </w:rPr>
        <w:t>te</w:t>
      </w:r>
      <w:r w:rsidR="00BC081B" w:rsidRPr="00654E3B">
        <w:rPr>
          <w:rFonts w:cs="Times New Roman"/>
        </w:rPr>
        <w:t xml:space="preserve"> s dodatnim naporima za zadržavanje </w:t>
      </w:r>
      <w:r w:rsidR="00DC3C3C" w:rsidRPr="00654E3B">
        <w:rPr>
          <w:rFonts w:cs="Times New Roman"/>
        </w:rPr>
        <w:t>temperature</w:t>
      </w:r>
      <w:r w:rsidR="00C31465" w:rsidRPr="00654E3B">
        <w:rPr>
          <w:rFonts w:cs="Times New Roman"/>
        </w:rPr>
        <w:t xml:space="preserve"> </w:t>
      </w:r>
      <w:r w:rsidRPr="00654E3B">
        <w:rPr>
          <w:rFonts w:cs="Times New Roman"/>
        </w:rPr>
        <w:t>unutar 1.5 °C, Republika Hrvatska ostvaruje kolektivno u okviru politike Europske unije. Uredba (EU) 2018/1999 Europskog parlamenta i Vijeća o upravljanju energetskom unijom i djelovanjem u području klime</w:t>
      </w:r>
      <w:r w:rsidR="00111FED" w:rsidRPr="00654E3B">
        <w:rPr>
          <w:rFonts w:cs="Times New Roman"/>
        </w:rPr>
        <w:t>, izmjeni uredaba (EZ) br. 663/2009 i (EZ) br. 715/2009 Europskog parlamenta i Vijeća, direktiva 94/22/EZ, 98/70/EZ, 2009/31/EZ, 2009/119/EZ i (EU) 2015/652 te stavljanju izvan snage Uredbe (EU) br. 525/2013 Europskog parlamenta i Vijeća (SL L</w:t>
      </w:r>
      <w:r w:rsidR="001323D0" w:rsidRPr="00654E3B">
        <w:rPr>
          <w:rFonts w:cs="Times New Roman"/>
        </w:rPr>
        <w:t xml:space="preserve"> 328, 21.</w:t>
      </w:r>
      <w:r w:rsidR="00061786" w:rsidRPr="00654E3B">
        <w:rPr>
          <w:rFonts w:cs="Times New Roman"/>
        </w:rPr>
        <w:t xml:space="preserve"> </w:t>
      </w:r>
      <w:r w:rsidR="001323D0" w:rsidRPr="00654E3B">
        <w:rPr>
          <w:rFonts w:cs="Times New Roman"/>
        </w:rPr>
        <w:t>12.</w:t>
      </w:r>
      <w:r w:rsidR="00061786" w:rsidRPr="00654E3B">
        <w:rPr>
          <w:rFonts w:cs="Times New Roman"/>
        </w:rPr>
        <w:t xml:space="preserve"> </w:t>
      </w:r>
      <w:r w:rsidR="001323D0" w:rsidRPr="00654E3B">
        <w:rPr>
          <w:rFonts w:cs="Times New Roman"/>
        </w:rPr>
        <w:t>2018.)</w:t>
      </w:r>
      <w:r w:rsidR="00061786" w:rsidRPr="00654E3B">
        <w:rPr>
          <w:rFonts w:cs="Times New Roman"/>
        </w:rPr>
        <w:t>,</w:t>
      </w:r>
      <w:r w:rsidRPr="00654E3B">
        <w:rPr>
          <w:rFonts w:cs="Times New Roman"/>
        </w:rPr>
        <w:t xml:space="preserve"> </w:t>
      </w:r>
      <w:r w:rsidR="00060992" w:rsidRPr="00654E3B">
        <w:rPr>
          <w:rFonts w:cs="Times New Roman"/>
        </w:rPr>
        <w:t>u daljnjem tekstu</w:t>
      </w:r>
      <w:r w:rsidRPr="00654E3B">
        <w:rPr>
          <w:rFonts w:cs="Times New Roman"/>
        </w:rPr>
        <w:t>: EU Uredba o upravljanju</w:t>
      </w:r>
      <w:r w:rsidR="00A50241" w:rsidRPr="00654E3B">
        <w:rPr>
          <w:rFonts w:cs="Times New Roman"/>
        </w:rPr>
        <w:t>,</w:t>
      </w:r>
      <w:r w:rsidRPr="00654E3B">
        <w:rPr>
          <w:rFonts w:cs="Times New Roman"/>
        </w:rPr>
        <w:t xml:space="preserve"> propisuje državama članicama izradu integriranog nacionalnog energetsko klimatskog plana do 2030. godine i dugoročne niskougljične strategije do 2050. godine. Republika Hrvatska je obvezna dostaviti niskougljičnu strategiju u Europsku komisiju temeljem čl</w:t>
      </w:r>
      <w:r w:rsidR="0057705E" w:rsidRPr="00654E3B">
        <w:rPr>
          <w:rFonts w:cs="Times New Roman"/>
        </w:rPr>
        <w:t>anka</w:t>
      </w:r>
      <w:r w:rsidRPr="00654E3B">
        <w:rPr>
          <w:rFonts w:cs="Times New Roman"/>
        </w:rPr>
        <w:t xml:space="preserve"> 15. EU </w:t>
      </w:r>
      <w:r w:rsidR="00540EA0" w:rsidRPr="00654E3B">
        <w:rPr>
          <w:rFonts w:cs="Times New Roman"/>
        </w:rPr>
        <w:t xml:space="preserve">Uredbe </w:t>
      </w:r>
      <w:r w:rsidRPr="00654E3B">
        <w:rPr>
          <w:rFonts w:cs="Times New Roman"/>
        </w:rPr>
        <w:t>o upravljanju. Sve stranke Pariškog sporazuma pa tako i Republika Hrvatska trebaju izraditi i dostaviti Tajništvu UNFCCC svoje dugoročne niskougljične strategije.</w:t>
      </w:r>
    </w:p>
    <w:p w:rsidR="007D4A93" w:rsidRPr="00654E3B" w:rsidRDefault="00EF0BEB">
      <w:pPr>
        <w:rPr>
          <w:rFonts w:cs="Times New Roman"/>
        </w:rPr>
      </w:pPr>
      <w:r w:rsidRPr="00654E3B">
        <w:rPr>
          <w:rFonts w:cs="Times New Roman"/>
        </w:rPr>
        <w:t>Zakon o klimatskim promjenama i zaštiti ozonskog sloja (</w:t>
      </w:r>
      <w:r w:rsidR="0097190B" w:rsidRPr="00654E3B">
        <w:rPr>
          <w:rFonts w:cs="Times New Roman"/>
        </w:rPr>
        <w:t>Narodne novine</w:t>
      </w:r>
      <w:r w:rsidRPr="00654E3B">
        <w:rPr>
          <w:rFonts w:cs="Times New Roman"/>
        </w:rPr>
        <w:t>, broj 127/2019) prenosi obvezu iz EU Uredbe o upravljanju</w:t>
      </w:r>
      <w:r w:rsidR="00BD3784" w:rsidRPr="00654E3B">
        <w:rPr>
          <w:rFonts w:cs="Times New Roman"/>
        </w:rPr>
        <w:t xml:space="preserve">, </w:t>
      </w:r>
      <w:r w:rsidRPr="00654E3B">
        <w:rPr>
          <w:rFonts w:cs="Times New Roman"/>
        </w:rPr>
        <w:t>na način da definira obvezu izrade Strategije niskougljičnog razvoja Republike Hrvatske do 2030. s pogledom na 2050. godinu (dalje u testu: Niskougljična strategija) i Akcijskog plana za provedbu Niskougljične strategije za razdoblje od pet godina. Ovo je prva dugoročna strategija Republike Hrvatske, koja sukladno propisanoj strukturi iz EU Uredbe o upravljanju, daje analizu mogućnosti razvoja društva prema društvu s niskim emisijama stakleničkih plinova. Prikazana su tri scenarija</w:t>
      </w:r>
      <w:r w:rsidR="00BD3784" w:rsidRPr="00654E3B">
        <w:rPr>
          <w:rFonts w:cs="Times New Roman"/>
        </w:rPr>
        <w:t>,</w:t>
      </w:r>
      <w:r w:rsidRPr="00654E3B">
        <w:rPr>
          <w:rFonts w:cs="Times New Roman"/>
        </w:rPr>
        <w:t xml:space="preserve"> koji pomažu sagledati napore potrebne za smanjenje emisija stakleničkih plinova u Hrvatskoj.</w:t>
      </w:r>
    </w:p>
    <w:p w:rsidR="007D4A93" w:rsidRPr="00654E3B" w:rsidRDefault="00EF0BEB">
      <w:pPr>
        <w:rPr>
          <w:rFonts w:cs="Times New Roman"/>
        </w:rPr>
      </w:pPr>
      <w:r w:rsidRPr="00654E3B">
        <w:rPr>
          <w:rFonts w:cs="Times New Roman"/>
        </w:rPr>
        <w:t xml:space="preserve">Svrha je ove Niskougljične strategije pokrenuti promjene u hrvatskom društvu koje će doprinijeti smanjenju emisije stakleničkih plinova i koje će omogućiti razdvajanje gospodarskog rasta od emisije stakleničkih plinova. </w:t>
      </w:r>
      <w:r w:rsidR="00500F34" w:rsidRPr="00654E3B">
        <w:rPr>
          <w:rFonts w:cs="Times New Roman"/>
        </w:rPr>
        <w:t>Republika Hrvatska može i treba dati svoj doprinos smanjenju emisija stakleničkih plinova, sukladno ratificiranim međunarodnim sporazumima, premda je njezin udio na globalnoj razini u ukupnim emisijama stakleničkih plinova mali</w:t>
      </w:r>
      <w:r w:rsidRPr="00654E3B">
        <w:rPr>
          <w:rFonts w:cs="Times New Roman"/>
        </w:rPr>
        <w:t>. No, ovo je svakako i prilika da se uz pomoć fondova EU napravi zaokret u svim sektorima</w:t>
      </w:r>
      <w:r w:rsidR="00641868" w:rsidRPr="00654E3B">
        <w:rPr>
          <w:rFonts w:cs="Times New Roman"/>
        </w:rPr>
        <w:t xml:space="preserve">, u čemu trebaju sudjelovati sve razine </w:t>
      </w:r>
      <w:r w:rsidRPr="00654E3B">
        <w:rPr>
          <w:rFonts w:cs="Times New Roman"/>
        </w:rPr>
        <w:t xml:space="preserve">vlasti, </w:t>
      </w:r>
      <w:r w:rsidR="00641868" w:rsidRPr="00654E3B">
        <w:rPr>
          <w:rFonts w:cs="Times New Roman"/>
        </w:rPr>
        <w:t xml:space="preserve">te poslovni svijet. Promjenu hrvatskog društva i gospodarstva u niskougljično, treba ostvariti kroz </w:t>
      </w:r>
      <w:r w:rsidRPr="00654E3B">
        <w:rPr>
          <w:rFonts w:cs="Times New Roman"/>
        </w:rPr>
        <w:t>ulaganje u zeleno poslovanje i tehnologije, u inovacije i razvoj</w:t>
      </w:r>
      <w:r w:rsidR="00641868" w:rsidRPr="00654E3B">
        <w:rPr>
          <w:rFonts w:cs="Times New Roman"/>
        </w:rPr>
        <w:t>,</w:t>
      </w:r>
      <w:r w:rsidRPr="00654E3B">
        <w:rPr>
          <w:rFonts w:cs="Times New Roman"/>
        </w:rPr>
        <w:t xml:space="preserve"> koje će doprinijeti jačanju konkurentnost</w:t>
      </w:r>
      <w:r w:rsidR="00D943F6" w:rsidRPr="00654E3B">
        <w:rPr>
          <w:rFonts w:cs="Times New Roman"/>
        </w:rPr>
        <w:t>i</w:t>
      </w:r>
      <w:r w:rsidRPr="00654E3B">
        <w:rPr>
          <w:rFonts w:cs="Times New Roman"/>
        </w:rPr>
        <w:t xml:space="preserve"> na zajedničkom europskom tržištu</w:t>
      </w:r>
      <w:r w:rsidR="00D943F6" w:rsidRPr="00654E3B">
        <w:rPr>
          <w:rFonts w:cs="Times New Roman"/>
        </w:rPr>
        <w:t>,</w:t>
      </w:r>
      <w:r w:rsidRPr="00654E3B">
        <w:rPr>
          <w:rFonts w:cs="Times New Roman"/>
        </w:rPr>
        <w:t xml:space="preserve"> koje sve više traži zelene proizvode i usluge.</w:t>
      </w:r>
    </w:p>
    <w:p w:rsidR="007D4A93" w:rsidRPr="00654E3B" w:rsidRDefault="00EF0BEB">
      <w:pPr>
        <w:rPr>
          <w:rFonts w:cs="Times New Roman"/>
        </w:rPr>
      </w:pPr>
      <w:r w:rsidRPr="00654E3B">
        <w:rPr>
          <w:rFonts w:cs="Times New Roman"/>
        </w:rPr>
        <w:t>Hrvatska kao dio EU-a dijeli klimatsku ambiciju iskazanu u Europskom zelenom planu Europske komisije (2019.)</w:t>
      </w:r>
      <w:r w:rsidR="00D943F6" w:rsidRPr="00654E3B">
        <w:rPr>
          <w:rFonts w:cs="Times New Roman"/>
        </w:rPr>
        <w:t>,</w:t>
      </w:r>
      <w:r w:rsidRPr="00654E3B">
        <w:rPr>
          <w:rFonts w:cs="Times New Roman"/>
        </w:rPr>
        <w:t xml:space="preserve"> o tome da EU bude klimatski neutralna do 2050. godine. Kada budu poznate sve implikacije zajedničkog cilja EU</w:t>
      </w:r>
      <w:r w:rsidR="00D943F6" w:rsidRPr="00654E3B">
        <w:rPr>
          <w:rFonts w:cs="Times New Roman"/>
        </w:rPr>
        <w:t>-a,</w:t>
      </w:r>
      <w:r w:rsidRPr="00654E3B">
        <w:rPr>
          <w:rFonts w:cs="Times New Roman"/>
        </w:rPr>
        <w:t xml:space="preserve"> o smanjenju emisije stakleničkih plinova od -55</w:t>
      </w:r>
      <w:r w:rsidR="00060992" w:rsidRPr="00654E3B">
        <w:rPr>
          <w:rFonts w:cs="Times New Roman"/>
        </w:rPr>
        <w:t xml:space="preserve"> %  %</w:t>
      </w:r>
      <w:r w:rsidRPr="00654E3B">
        <w:rPr>
          <w:rFonts w:cs="Times New Roman"/>
        </w:rPr>
        <w:t xml:space="preserve"> do 2030. godine i cilja klimatske neutralnosti do 2050. godine na sektorske politike, biti će moguće završiti scenarij nulte emisije za Hrvatsku.</w:t>
      </w:r>
    </w:p>
    <w:p w:rsidR="007D4A93" w:rsidRPr="00654E3B" w:rsidRDefault="00EF0BEB">
      <w:pPr>
        <w:rPr>
          <w:rFonts w:cs="Times New Roman"/>
        </w:rPr>
      </w:pPr>
      <w:r w:rsidRPr="00654E3B">
        <w:rPr>
          <w:rFonts w:cs="Times New Roman"/>
        </w:rPr>
        <w:t>Niskougljičnu strategiju donosi Hrvatski sabor, na prijedlog Vlade Republike Hrvatske. Akcijski plan za provedbu Niskougljične strategije za razdoblje od pet godina donosi Vlada Republike Hrvatske, na prijedlog tijela državne uprave nadležnog za zaštitu okoliša.</w:t>
      </w:r>
    </w:p>
    <w:p w:rsidR="007D4A93" w:rsidRPr="00654E3B" w:rsidRDefault="00EF0BEB">
      <w:pPr>
        <w:rPr>
          <w:rFonts w:cs="Times New Roman"/>
        </w:rPr>
      </w:pPr>
      <w:r w:rsidRPr="00654E3B">
        <w:rPr>
          <w:rFonts w:cs="Times New Roman"/>
        </w:rPr>
        <w:t>Prema Zakonu o sustavu strateškog planiranja i upravljanju razvojem Republike Hrvatske (</w:t>
      </w:r>
      <w:r w:rsidR="0097190B" w:rsidRPr="00654E3B">
        <w:rPr>
          <w:rFonts w:cs="Times New Roman"/>
        </w:rPr>
        <w:t>Narodne novine</w:t>
      </w:r>
      <w:r w:rsidRPr="00654E3B">
        <w:rPr>
          <w:rFonts w:cs="Times New Roman"/>
        </w:rPr>
        <w:t xml:space="preserve">, broj 123/2017), Niskougljična strategija je nacionalna, dugoročna i višesektorska strategija, koja doprinosi definiranju krovne Nacionalne razvojne strategije Republike Hrvatske. Harmonizacija </w:t>
      </w:r>
      <w:r w:rsidRPr="00654E3B">
        <w:rPr>
          <w:rFonts w:cs="Times New Roman"/>
        </w:rPr>
        <w:lastRenderedPageBreak/>
        <w:t>strateških i planskih dokumenata propisana je i Zakonom o zaštiti klime i ozonskog sloja</w:t>
      </w:r>
      <w:r w:rsidR="00D943F6" w:rsidRPr="00654E3B">
        <w:rPr>
          <w:rFonts w:cs="Times New Roman"/>
        </w:rPr>
        <w:t>,</w:t>
      </w:r>
      <w:r w:rsidRPr="00654E3B">
        <w:rPr>
          <w:rFonts w:cs="Times New Roman"/>
        </w:rPr>
        <w:t xml:space="preserve"> koji propisuje da nacionalni razvojni dokumenti i razvojni dokumenti pojedinih područja i djelatnosti moraju biti usklađeni s načelima, osnovnim ciljevima, prioritetima i mjerama utvrđenim u Niskougljičnoj strategiji.</w:t>
      </w:r>
    </w:p>
    <w:p w:rsidR="007D4A93" w:rsidRPr="00654E3B" w:rsidRDefault="00EF0BEB">
      <w:pPr>
        <w:rPr>
          <w:rFonts w:cs="Times New Roman"/>
        </w:rPr>
      </w:pPr>
      <w:bookmarkStart w:id="110" w:name="_Hlk44008607"/>
      <w:r w:rsidRPr="00654E3B">
        <w:rPr>
          <w:rFonts w:cs="Times New Roman"/>
        </w:rPr>
        <w:t xml:space="preserve">Pandemija COVID-19 koja se pojavila 2020. godine </w:t>
      </w:r>
      <w:r w:rsidR="00540EA0" w:rsidRPr="00654E3B">
        <w:rPr>
          <w:rFonts w:cs="Times New Roman"/>
        </w:rPr>
        <w:t xml:space="preserve">ima značajan utjecaj na gospodarstvo i društvo i </w:t>
      </w:r>
      <w:r w:rsidRPr="00654E3B">
        <w:rPr>
          <w:rFonts w:cs="Times New Roman"/>
        </w:rPr>
        <w:t xml:space="preserve">postavlja nove neizvjesne okolnosti za razvoj. </w:t>
      </w:r>
      <w:bookmarkEnd w:id="110"/>
      <w:r w:rsidRPr="00654E3B">
        <w:rPr>
          <w:rFonts w:cs="Times New Roman"/>
        </w:rPr>
        <w:t xml:space="preserve">Niskougljična strategija dobiva još veći značaj jer dodatna financijska sredstva za </w:t>
      </w:r>
      <w:r w:rsidR="00540EA0" w:rsidRPr="00654E3B">
        <w:rPr>
          <w:rFonts w:cs="Times New Roman"/>
        </w:rPr>
        <w:t xml:space="preserve">oporavak </w:t>
      </w:r>
      <w:r w:rsidRPr="00654E3B">
        <w:rPr>
          <w:rFonts w:cs="Times New Roman"/>
        </w:rPr>
        <w:t xml:space="preserve">mogu ubrzati tranziciju, otvaranje zelenih radnih mjesta, ostvarivanje resursno učinkovitog gospodarstva temeljenog na niskoj emisiji ugljika i </w:t>
      </w:r>
      <w:r w:rsidR="00D943F6" w:rsidRPr="00654E3B">
        <w:rPr>
          <w:rFonts w:cs="Times New Roman"/>
        </w:rPr>
        <w:t xml:space="preserve">otpornog </w:t>
      </w:r>
      <w:r w:rsidRPr="00654E3B">
        <w:rPr>
          <w:rFonts w:cs="Times New Roman"/>
        </w:rPr>
        <w:t>na klimatske promjene. Utjecaji pandemije COVID-19 uzet će se u obzir u planskom dokumentu</w:t>
      </w:r>
      <w:r w:rsidR="00D943F6" w:rsidRPr="00654E3B">
        <w:rPr>
          <w:rFonts w:cs="Times New Roman"/>
        </w:rPr>
        <w:t>,</w:t>
      </w:r>
      <w:r w:rsidRPr="00654E3B">
        <w:rPr>
          <w:rFonts w:cs="Times New Roman"/>
        </w:rPr>
        <w:t xml:space="preserve"> Akcijskom planu provedbe Niskougljične strategije</w:t>
      </w:r>
      <w:r w:rsidR="005F1F72" w:rsidRPr="00654E3B">
        <w:rPr>
          <w:rFonts w:cs="Times New Roman"/>
        </w:rPr>
        <w:t>.</w:t>
      </w:r>
      <w:r w:rsidRPr="00654E3B">
        <w:rPr>
          <w:rFonts w:cs="Times New Roman"/>
        </w:rPr>
        <w:t xml:space="preserve"> </w:t>
      </w:r>
    </w:p>
    <w:p w:rsidR="007D4A93" w:rsidRPr="00654E3B" w:rsidRDefault="00EF0BEB">
      <w:pPr>
        <w:rPr>
          <w:rFonts w:cs="Times New Roman"/>
        </w:rPr>
      </w:pPr>
      <w:r w:rsidRPr="00654E3B">
        <w:rPr>
          <w:rFonts w:cs="Times New Roman"/>
        </w:rPr>
        <w:t xml:space="preserve">Niskougljična strategija ima u fokusu smanjiti emisije stakleničkih plinova i spriječiti porast koncentracije istih u atmosferi i posljedično </w:t>
      </w:r>
      <w:r w:rsidR="005F1F72" w:rsidRPr="00654E3B">
        <w:rPr>
          <w:rFonts w:cs="Times New Roman"/>
        </w:rPr>
        <w:t>ograniči</w:t>
      </w:r>
      <w:r w:rsidRPr="00654E3B">
        <w:rPr>
          <w:rFonts w:cs="Times New Roman"/>
        </w:rPr>
        <w:t xml:space="preserve">ti globalni porast temperature. Međutim, klimatske promjene se već događaju iz razloga što su staklenički plinovi u atmosferi dugoživući, ali i zbog toga što se međunarodni sporazumi o klimi ne provode odgovarajućom dinamikom. </w:t>
      </w:r>
    </w:p>
    <w:p w:rsidR="007D4A93" w:rsidRPr="00654E3B" w:rsidRDefault="00EF0BEB">
      <w:pPr>
        <w:rPr>
          <w:rFonts w:cs="Times New Roman"/>
        </w:rPr>
      </w:pPr>
      <w:r w:rsidRPr="00654E3B">
        <w:rPr>
          <w:rFonts w:cs="Times New Roman"/>
        </w:rPr>
        <w:t>Klimatske promjene su najveći izazov s kojim se svijet suočava te uzrokuju velike štete po gospodarstvo, društvo i ekosustave. Stoga je važno da se istovremeno radi na jačanju otpornosti na klimatske promjene i na provedbi mjera prilagodbe</w:t>
      </w:r>
      <w:r w:rsidR="0072615A" w:rsidRPr="00654E3B">
        <w:rPr>
          <w:rFonts w:cs="Times New Roman"/>
        </w:rPr>
        <w:t>,</w:t>
      </w:r>
      <w:r w:rsidRPr="00654E3B">
        <w:rPr>
          <w:rFonts w:cs="Times New Roman"/>
        </w:rPr>
        <w:t xml:space="preserve"> kako bi se štete minimizirale i iskoristile prilike. Pri odabiru odgovarajućih mjera niskougljičnog razvoja</w:t>
      </w:r>
      <w:r w:rsidR="0072615A" w:rsidRPr="00654E3B">
        <w:rPr>
          <w:rFonts w:cs="Times New Roman"/>
        </w:rPr>
        <w:t>,</w:t>
      </w:r>
      <w:r w:rsidRPr="00654E3B">
        <w:rPr>
          <w:rFonts w:cs="Times New Roman"/>
        </w:rPr>
        <w:t xml:space="preserve"> treba u tom smislu voditi računa </w:t>
      </w:r>
      <w:r w:rsidR="0072615A" w:rsidRPr="00654E3B">
        <w:rPr>
          <w:rFonts w:cs="Times New Roman"/>
        </w:rPr>
        <w:t xml:space="preserve">o rizicima </w:t>
      </w:r>
      <w:r w:rsidRPr="00654E3B">
        <w:rPr>
          <w:rFonts w:cs="Times New Roman"/>
        </w:rPr>
        <w:t xml:space="preserve">od klimatskih promjena, kao i </w:t>
      </w:r>
      <w:r w:rsidR="0072615A" w:rsidRPr="00654E3B">
        <w:rPr>
          <w:rFonts w:cs="Times New Roman"/>
        </w:rPr>
        <w:t>o tome</w:t>
      </w:r>
      <w:r w:rsidRPr="00654E3B">
        <w:rPr>
          <w:rFonts w:cs="Times New Roman"/>
        </w:rPr>
        <w:t xml:space="preserve"> da odabrane mjere doprinose prilagodbi klimatskim promjenama, što važi i obrnuto. Izvješće Međuvladinog panela za klimatske promjene iz 2019. godine</w:t>
      </w:r>
      <w:r w:rsidR="0072615A" w:rsidRPr="00654E3B">
        <w:rPr>
          <w:rFonts w:cs="Times New Roman"/>
        </w:rPr>
        <w:t>,</w:t>
      </w:r>
      <w:r w:rsidRPr="00654E3B">
        <w:rPr>
          <w:rFonts w:cs="Times New Roman"/>
        </w:rPr>
        <w:t xml:space="preserve"> daje podatak da je globalni trend porasta temperature već na + 1,1 °C te ako se nastavi povećavati koncentracija stakleničkih plinova sadašnjom brzinom, globalno zagrijavanje će vjerojatno dosegnuti + 1,5 °C između 2030. i 2052. godine. </w:t>
      </w:r>
    </w:p>
    <w:p w:rsidR="007D4A93" w:rsidRPr="00654E3B" w:rsidRDefault="00EF0BEB">
      <w:pPr>
        <w:rPr>
          <w:rFonts w:cs="Times New Roman"/>
        </w:rPr>
      </w:pPr>
      <w:r w:rsidRPr="00654E3B">
        <w:rPr>
          <w:rFonts w:cs="Times New Roman"/>
        </w:rPr>
        <w:t>Sve je više dokaza da je Hrvatska pod utjecajima klimatskih promjena te da Hrvatska već sada trpi velike štete od ekstremnih vremenskih nepogoda</w:t>
      </w:r>
      <w:r w:rsidR="0072615A" w:rsidRPr="00654E3B">
        <w:rPr>
          <w:rFonts w:cs="Times New Roman"/>
        </w:rPr>
        <w:t>,</w:t>
      </w:r>
      <w:r w:rsidRPr="00654E3B">
        <w:rPr>
          <w:rFonts w:cs="Times New Roman"/>
        </w:rPr>
        <w:t xml:space="preserve"> </w:t>
      </w:r>
      <w:r w:rsidR="0072615A" w:rsidRPr="00654E3B">
        <w:rPr>
          <w:rFonts w:cs="Times New Roman"/>
        </w:rPr>
        <w:t xml:space="preserve">koje </w:t>
      </w:r>
      <w:r w:rsidRPr="00654E3B">
        <w:rPr>
          <w:rFonts w:cs="Times New Roman"/>
        </w:rPr>
        <w:t>su potenciran</w:t>
      </w:r>
      <w:r w:rsidR="0072615A" w:rsidRPr="00654E3B">
        <w:rPr>
          <w:rFonts w:cs="Times New Roman"/>
        </w:rPr>
        <w:t>e</w:t>
      </w:r>
      <w:r w:rsidRPr="00654E3B">
        <w:rPr>
          <w:rFonts w:cs="Times New Roman"/>
        </w:rPr>
        <w:t xml:space="preserve"> klimatskim promjenama. Prema Strategiji prilagodbe </w:t>
      </w:r>
      <w:r w:rsidR="0072615A" w:rsidRPr="00654E3B">
        <w:rPr>
          <w:rFonts w:cs="Times New Roman"/>
        </w:rPr>
        <w:t xml:space="preserve">klimatskim </w:t>
      </w:r>
      <w:r w:rsidRPr="00654E3B">
        <w:rPr>
          <w:rFonts w:cs="Times New Roman"/>
        </w:rPr>
        <w:t>promjena</w:t>
      </w:r>
      <w:r w:rsidR="0072615A" w:rsidRPr="00654E3B">
        <w:rPr>
          <w:rFonts w:cs="Times New Roman"/>
        </w:rPr>
        <w:t>ma</w:t>
      </w:r>
      <w:r w:rsidRPr="00654E3B">
        <w:rPr>
          <w:rFonts w:cs="Times New Roman"/>
        </w:rPr>
        <w:t xml:space="preserve"> za razdoblje do 2040. godine s pogledom do 2070. godine (</w:t>
      </w:r>
      <w:r w:rsidR="0097190B" w:rsidRPr="00654E3B">
        <w:rPr>
          <w:rFonts w:cs="Times New Roman"/>
        </w:rPr>
        <w:t>Narodne novine</w:t>
      </w:r>
      <w:r w:rsidRPr="00654E3B">
        <w:rPr>
          <w:rFonts w:cs="Times New Roman"/>
        </w:rPr>
        <w:t>, broj 46/2020)</w:t>
      </w:r>
      <w:r w:rsidR="0072615A" w:rsidRPr="00654E3B">
        <w:rPr>
          <w:rFonts w:cs="Times New Roman"/>
        </w:rPr>
        <w:t>,</w:t>
      </w:r>
      <w:r w:rsidRPr="00654E3B">
        <w:rPr>
          <w:rFonts w:cs="Times New Roman"/>
        </w:rPr>
        <w:t xml:space="preserve"> za očekivati je da će temperatura zraka u Hrvatskoj porast</w:t>
      </w:r>
      <w:r w:rsidR="0072615A" w:rsidRPr="00654E3B">
        <w:rPr>
          <w:rFonts w:cs="Times New Roman"/>
        </w:rPr>
        <w:t>i</w:t>
      </w:r>
      <w:r w:rsidRPr="00654E3B">
        <w:rPr>
          <w:rFonts w:cs="Times New Roman"/>
        </w:rPr>
        <w:t xml:space="preserve"> od 1,3 i 1,5 °C do 2040., odnosno od 2,2 – 2,5 °C do 2070. godine</w:t>
      </w:r>
      <w:r w:rsidR="0072615A" w:rsidRPr="00654E3B">
        <w:rPr>
          <w:rFonts w:cs="Times New Roman"/>
        </w:rPr>
        <w:t>,</w:t>
      </w:r>
      <w:r w:rsidRPr="00654E3B">
        <w:rPr>
          <w:rFonts w:cs="Times New Roman"/>
        </w:rPr>
        <w:t xml:space="preserve"> što posljedično utječe na niz klimatskih parametara. </w:t>
      </w:r>
    </w:p>
    <w:p w:rsidR="007D4A93" w:rsidRPr="00654E3B" w:rsidRDefault="00EF0BEB">
      <w:pPr>
        <w:rPr>
          <w:rFonts w:cs="Times New Roman"/>
          <w:b/>
          <w:i/>
          <w:u w:val="single"/>
        </w:rPr>
      </w:pPr>
      <w:r w:rsidRPr="00654E3B">
        <w:rPr>
          <w:rFonts w:cs="Times New Roman"/>
          <w:b/>
          <w:i/>
          <w:u w:val="single"/>
        </w:rPr>
        <w:t xml:space="preserve">Postupak izrade strategije </w:t>
      </w:r>
    </w:p>
    <w:p w:rsidR="007D4A93" w:rsidRPr="00654E3B" w:rsidRDefault="00EF0BEB">
      <w:pPr>
        <w:rPr>
          <w:rFonts w:cs="Times New Roman"/>
        </w:rPr>
      </w:pPr>
      <w:r w:rsidRPr="00654E3B">
        <w:rPr>
          <w:rFonts w:cs="Times New Roman"/>
        </w:rPr>
        <w:t xml:space="preserve">Niskougljična strategija izrađena je na uključiv i transparentan način u čemu su sudjelovali brojni dionici iz svih glavnih skupina, kroz četiri koraka. </w:t>
      </w:r>
    </w:p>
    <w:p w:rsidR="007D4A93" w:rsidRPr="00654E3B" w:rsidRDefault="00EF0BEB">
      <w:pPr>
        <w:rPr>
          <w:rFonts w:cs="Times New Roman"/>
        </w:rPr>
      </w:pPr>
      <w:r w:rsidRPr="00654E3B">
        <w:rPr>
          <w:rFonts w:cs="Times New Roman"/>
          <w:b/>
        </w:rPr>
        <w:t>Prvi korak</w:t>
      </w:r>
      <w:r w:rsidRPr="00654E3B">
        <w:rPr>
          <w:rFonts w:cs="Times New Roman"/>
        </w:rPr>
        <w:t xml:space="preserve"> započeo je 2012. godine kroz LEDS projekt (eng. </w:t>
      </w:r>
      <w:r w:rsidRPr="00654E3B">
        <w:rPr>
          <w:rFonts w:cs="Times New Roman"/>
          <w:i/>
        </w:rPr>
        <w:t>Low Emission Development Strategies</w:t>
      </w:r>
      <w:r w:rsidRPr="00654E3B">
        <w:rPr>
          <w:rFonts w:cs="Times New Roman"/>
        </w:rPr>
        <w:t xml:space="preserve">) Ministarstva zaštite okoliša i prirode u partnerstvu s Programom Ujedinjenih naroda za razvoj (UNDP), čime je kroz niz sektorskih radionica izrađen Okvir za izradu Strategije niskougljičnog razvoja </w:t>
      </w:r>
      <w:r w:rsidR="0072615A" w:rsidRPr="00654E3B">
        <w:rPr>
          <w:rFonts w:cs="Times New Roman"/>
        </w:rPr>
        <w:t xml:space="preserve">Republike </w:t>
      </w:r>
      <w:r w:rsidRPr="00654E3B">
        <w:rPr>
          <w:rFonts w:cs="Times New Roman"/>
        </w:rPr>
        <w:t xml:space="preserve">Hrvatske (LEDS). </w:t>
      </w:r>
    </w:p>
    <w:p w:rsidR="007D4A93" w:rsidRPr="00654E3B" w:rsidRDefault="00EF0BEB">
      <w:pPr>
        <w:rPr>
          <w:rFonts w:cs="Times New Roman"/>
        </w:rPr>
      </w:pPr>
      <w:r w:rsidRPr="00654E3B">
        <w:rPr>
          <w:rFonts w:cs="Times New Roman"/>
        </w:rPr>
        <w:t>U</w:t>
      </w:r>
      <w:r w:rsidRPr="00654E3B">
        <w:rPr>
          <w:rFonts w:cs="Times New Roman"/>
          <w:b/>
        </w:rPr>
        <w:t xml:space="preserve"> drugom koraku</w:t>
      </w:r>
      <w:r w:rsidRPr="00654E3B">
        <w:rPr>
          <w:rFonts w:cs="Times New Roman"/>
        </w:rPr>
        <w:t>, od 2014. do 2015. godine, uz sudjelovanje mnogobrojnih institucija izrađene su stručne podloge čiji su rezultat bile Zelena knjiga (detaljne tehničke analize ciljeva, mjera, scenarija i utjecaja) i Bijela knjiga (</w:t>
      </w:r>
      <w:r w:rsidR="0057705E" w:rsidRPr="00654E3B">
        <w:rPr>
          <w:rFonts w:cs="Times New Roman"/>
        </w:rPr>
        <w:t>N</w:t>
      </w:r>
      <w:r w:rsidRPr="00654E3B">
        <w:rPr>
          <w:rFonts w:cs="Times New Roman"/>
        </w:rPr>
        <w:t xml:space="preserve">acrt </w:t>
      </w:r>
      <w:r w:rsidR="0057705E" w:rsidRPr="00654E3B">
        <w:rPr>
          <w:rFonts w:cs="Times New Roman"/>
        </w:rPr>
        <w:t>n</w:t>
      </w:r>
      <w:r w:rsidRPr="00654E3B">
        <w:rPr>
          <w:rFonts w:cs="Times New Roman"/>
        </w:rPr>
        <w:t>iskougljične strategije). Prilikom izrade stručnih podloga održan je niz sektorskih radionica i javnih izlaganja, kako bi se stručna i zainteresirana javnosti uključila u izradu stručnih podloga. Započeo je postupak strateške procjene utjecaja na okoliš s glavnom ocjenom prihvatljivosti za ekološku mrežu.</w:t>
      </w:r>
    </w:p>
    <w:p w:rsidR="007D4A93" w:rsidRPr="00654E3B" w:rsidRDefault="00EF0BEB">
      <w:pPr>
        <w:rPr>
          <w:rFonts w:cs="Times New Roman"/>
        </w:rPr>
      </w:pPr>
      <w:r w:rsidRPr="00654E3B">
        <w:rPr>
          <w:rFonts w:cs="Times New Roman"/>
        </w:rPr>
        <w:t>U</w:t>
      </w:r>
      <w:r w:rsidRPr="00654E3B">
        <w:rPr>
          <w:rFonts w:cs="Times New Roman"/>
          <w:b/>
        </w:rPr>
        <w:t xml:space="preserve"> trećem koraku</w:t>
      </w:r>
      <w:r w:rsidRPr="00654E3B">
        <w:rPr>
          <w:rFonts w:cs="Times New Roman"/>
        </w:rPr>
        <w:t xml:space="preserve">, od 2016. do 2017. godine, provedeni su novi proračuni i novelacija niskougljičnih scenarija. Razlog su bile promjene u povijesnom nizu podataka, novelacija cijena goriva i tehnologija te nove pretpostavke razvojnih politika. U konzultacijama s </w:t>
      </w:r>
      <w:r w:rsidR="00E05540" w:rsidRPr="00654E3B">
        <w:rPr>
          <w:rFonts w:cs="Times New Roman"/>
        </w:rPr>
        <w:t xml:space="preserve">nadležnim </w:t>
      </w:r>
      <w:r w:rsidRPr="00654E3B">
        <w:rPr>
          <w:rFonts w:cs="Times New Roman"/>
        </w:rPr>
        <w:t>ministarstvima</w:t>
      </w:r>
      <w:r w:rsidR="00E05540" w:rsidRPr="00654E3B">
        <w:rPr>
          <w:rFonts w:cs="Times New Roman"/>
        </w:rPr>
        <w:t>,</w:t>
      </w:r>
      <w:r w:rsidRPr="00654E3B">
        <w:rPr>
          <w:rFonts w:cs="Times New Roman"/>
        </w:rPr>
        <w:t xml:space="preserve"> napravljena je druga revizija Bijele knjige, odnosno </w:t>
      </w:r>
      <w:r w:rsidR="0057705E" w:rsidRPr="00654E3B">
        <w:rPr>
          <w:rFonts w:cs="Times New Roman"/>
        </w:rPr>
        <w:t>P</w:t>
      </w:r>
      <w:r w:rsidRPr="00654E3B">
        <w:rPr>
          <w:rFonts w:cs="Times New Roman"/>
        </w:rPr>
        <w:t xml:space="preserve">rijedlog </w:t>
      </w:r>
      <w:r w:rsidR="0057705E" w:rsidRPr="00654E3B">
        <w:rPr>
          <w:rFonts w:cs="Times New Roman"/>
        </w:rPr>
        <w:t>n</w:t>
      </w:r>
      <w:r w:rsidRPr="00654E3B">
        <w:rPr>
          <w:rFonts w:cs="Times New Roman"/>
        </w:rPr>
        <w:t>iskougljične strategije. Nastavljen je postupak strateške procjene utjecaja na okoliš s glavnom ocjenom prihvatljivosti za ekološku mrežu te je provedeno javno savjetovanje o prijedlogu Niskougljične strategije i Strateške studije utjecaja na okoliš Niskougljične strategije.</w:t>
      </w:r>
    </w:p>
    <w:p w:rsidR="007D4A93" w:rsidRPr="00654E3B" w:rsidRDefault="00EF0BEB">
      <w:pPr>
        <w:rPr>
          <w:rFonts w:cs="Times New Roman"/>
        </w:rPr>
      </w:pPr>
      <w:r w:rsidRPr="00654E3B">
        <w:rPr>
          <w:rFonts w:cs="Times New Roman"/>
        </w:rPr>
        <w:lastRenderedPageBreak/>
        <w:t xml:space="preserve">U </w:t>
      </w:r>
      <w:r w:rsidRPr="00654E3B">
        <w:rPr>
          <w:rFonts w:cs="Times New Roman"/>
          <w:b/>
          <w:bCs/>
        </w:rPr>
        <w:t>četvrtom koraku</w:t>
      </w:r>
      <w:r w:rsidRPr="00654E3B">
        <w:rPr>
          <w:rFonts w:cs="Times New Roman"/>
        </w:rPr>
        <w:t>, od 2019. do 2020. godine provedena je novelacija Bijele knjige. Naime, tada su u izradi bili Strategija energetskog razvoja Republike Hrvatske do 2030. s pogledom na 2050. godinu (</w:t>
      </w:r>
      <w:r w:rsidR="00060992" w:rsidRPr="00654E3B">
        <w:rPr>
          <w:rFonts w:cs="Times New Roman"/>
        </w:rPr>
        <w:t>u daljnjem tekstu</w:t>
      </w:r>
      <w:r w:rsidRPr="00654E3B">
        <w:rPr>
          <w:rFonts w:cs="Times New Roman"/>
        </w:rPr>
        <w:t>: Energetska strategija) i Integrirani nacionalni energetski i klimatski plan za razdoblje od 2021. do 2030. godine (</w:t>
      </w:r>
      <w:r w:rsidR="00060992" w:rsidRPr="00654E3B">
        <w:rPr>
          <w:rFonts w:cs="Times New Roman"/>
        </w:rPr>
        <w:t>u daljnjem tekstu</w:t>
      </w:r>
      <w:r w:rsidRPr="00654E3B">
        <w:rPr>
          <w:rFonts w:cs="Times New Roman"/>
        </w:rPr>
        <w:t>: NECP) te su u koordinaciji i kroz iterativni pristup postavljeni sukladni ciljevi smanjenja emisije stakleničkih plinova u energetskim sektorima. Istovremeno su ažurirani refere</w:t>
      </w:r>
      <w:r w:rsidR="008D54E3" w:rsidRPr="00654E3B">
        <w:rPr>
          <w:rFonts w:cs="Times New Roman"/>
        </w:rPr>
        <w:t xml:space="preserve">ntni i niskougljični scenariji </w:t>
      </w:r>
      <w:r w:rsidRPr="00654E3B">
        <w:rPr>
          <w:rFonts w:cs="Times New Roman"/>
        </w:rPr>
        <w:t>sektora izvan energetike (industrijski procesi i uporaba proizvoda, poljoprivreda, otpad, korištenje zemljišta, prenamjene zemljišta i šumarstvo - LULUCF).</w:t>
      </w:r>
    </w:p>
    <w:p w:rsidR="007D4A93" w:rsidRPr="00654E3B" w:rsidRDefault="00EF0BEB">
      <w:pPr>
        <w:rPr>
          <w:rFonts w:cs="Times New Roman"/>
          <w:i/>
          <w:u w:val="single"/>
        </w:rPr>
      </w:pPr>
      <w:r w:rsidRPr="00654E3B">
        <w:rPr>
          <w:rFonts w:cs="Times New Roman"/>
          <w:b/>
          <w:i/>
          <w:u w:val="single"/>
        </w:rPr>
        <w:t>Metodološki pristup</w:t>
      </w:r>
    </w:p>
    <w:p w:rsidR="007D4A93" w:rsidRPr="00654E3B" w:rsidRDefault="00EF0BEB">
      <w:pPr>
        <w:rPr>
          <w:rFonts w:cs="Times New Roman"/>
        </w:rPr>
      </w:pPr>
      <w:r w:rsidRPr="00654E3B">
        <w:rPr>
          <w:rFonts w:cs="Times New Roman"/>
        </w:rPr>
        <w:t>U izradi Niskougljične strategije analiziran je niz scenarija, primijenjeni su mnogobrojni modeli za simulacije i optimiranje, a razvijen je i integralni model za nacionalne projekcije stakleničkih plinova NUSPCRO (Niskougljično strateško planiranje Republike Hrvatske). Emisije stakleničkih plinova i projekcije iskazane su u skladu s metodologijom iz vodiča Međuvladinog panela za klimatske promjene iz 2006. godine (IPCC 2006) i odgovarajućih faktora stakleničkog potencijala za izračun ekvivalenata emisija CO</w:t>
      </w:r>
      <w:r w:rsidRPr="00654E3B">
        <w:rPr>
          <w:rFonts w:cs="Times New Roman"/>
          <w:vertAlign w:val="subscript"/>
        </w:rPr>
        <w:t>2</w:t>
      </w:r>
      <w:r w:rsidRPr="00654E3B">
        <w:rPr>
          <w:rFonts w:cs="Times New Roman"/>
        </w:rPr>
        <w:t>.</w:t>
      </w:r>
    </w:p>
    <w:p w:rsidR="007D4A93" w:rsidRPr="00654E3B" w:rsidRDefault="00EF0BEB">
      <w:pPr>
        <w:rPr>
          <w:rFonts w:cs="Times New Roman"/>
          <w:b/>
          <w:i/>
          <w:u w:val="single"/>
        </w:rPr>
      </w:pPr>
      <w:r w:rsidRPr="00654E3B">
        <w:rPr>
          <w:rFonts w:cs="Times New Roman"/>
          <w:b/>
          <w:i/>
          <w:u w:val="single"/>
        </w:rPr>
        <w:t xml:space="preserve">Emisija stakleničkih plinova </w:t>
      </w:r>
    </w:p>
    <w:p w:rsidR="007D4A93" w:rsidRPr="00654E3B" w:rsidRDefault="00EF0BEB">
      <w:pPr>
        <w:rPr>
          <w:rFonts w:cs="Times New Roman"/>
        </w:rPr>
      </w:pPr>
      <w:r w:rsidRPr="00654E3B">
        <w:rPr>
          <w:rFonts w:cs="Times New Roman"/>
        </w:rPr>
        <w:t xml:space="preserve">Ukupna emisija stakleničkih plinova u </w:t>
      </w:r>
      <w:r w:rsidR="00C30C41" w:rsidRPr="00654E3B">
        <w:rPr>
          <w:rFonts w:cs="Times New Roman"/>
        </w:rPr>
        <w:t xml:space="preserve">Republici </w:t>
      </w:r>
      <w:r w:rsidRPr="00654E3B">
        <w:rPr>
          <w:rFonts w:cs="Times New Roman"/>
        </w:rPr>
        <w:t>Hrvatskoj, isključujući ponore, u 2018. godini iznosila je 23.792,80 kt CO</w:t>
      </w:r>
      <w:r w:rsidRPr="00654E3B">
        <w:rPr>
          <w:rFonts w:cs="Times New Roman"/>
          <w:vertAlign w:val="subscript"/>
        </w:rPr>
        <w:t>2</w:t>
      </w:r>
      <w:r w:rsidRPr="00654E3B">
        <w:rPr>
          <w:rFonts w:cs="Times New Roman"/>
        </w:rPr>
        <w:t>e, što predstavlja smanjenje emisija za 25,36</w:t>
      </w:r>
      <w:r w:rsidR="00060992" w:rsidRPr="00654E3B">
        <w:rPr>
          <w:rFonts w:cs="Times New Roman"/>
        </w:rPr>
        <w:t xml:space="preserve"> %  %</w:t>
      </w:r>
      <w:r w:rsidRPr="00654E3B">
        <w:rPr>
          <w:rFonts w:cs="Times New Roman"/>
        </w:rPr>
        <w:t xml:space="preserve"> u odnosu na emisiju stakleničkih plinova u 1990. godini. Trend emisija stakleničkih plinova po sektorima, prikazan je na slici 1-1.</w:t>
      </w:r>
      <w:bookmarkStart w:id="111" w:name="_Toc436823637"/>
      <w:bookmarkStart w:id="112" w:name="_Toc390418884"/>
      <w:bookmarkStart w:id="113" w:name="_Toc292099512"/>
    </w:p>
    <w:p w:rsidR="007D4A93" w:rsidRPr="00F01191" w:rsidRDefault="00EF0BEB">
      <w:pPr>
        <w:jc w:val="center"/>
        <w:rPr>
          <w:rFonts w:cs="Times New Roman"/>
        </w:rPr>
      </w:pPr>
      <w:r w:rsidRPr="00F01191">
        <w:rPr>
          <w:rFonts w:cs="Times New Roman"/>
          <w:noProof/>
          <w:lang w:val="en-US"/>
        </w:rPr>
        <w:drawing>
          <wp:inline distT="0" distB="0" distL="0" distR="0" wp14:anchorId="3FB9DD6D" wp14:editId="5870827A">
            <wp:extent cx="4944139" cy="3237329"/>
            <wp:effectExtent l="0" t="0" r="8890" b="127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jpg"/>
                    <pic:cNvPicPr>
                      <a:picLocks noChangeAspect="1"/>
                    </pic:cNvPicPr>
                  </pic:nvPicPr>
                  <pic:blipFill>
                    <a:blip r:embed="rId10"/>
                    <a:stretch/>
                  </pic:blipFill>
                  <pic:spPr bwMode="auto">
                    <a:xfrm>
                      <a:off x="0" y="0"/>
                      <a:ext cx="4972950" cy="3256194"/>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bookmarkStart w:id="114" w:name="_Toc23415503"/>
      <w:bookmarkStart w:id="115" w:name="_Toc33417093"/>
      <w:r w:rsidRPr="00654E3B">
        <w:rPr>
          <w:rFonts w:ascii="Times New Roman" w:hAnsi="Times New Roman"/>
          <w:i/>
        </w:rPr>
        <w:t>Slika 1-1: Trend emisija stakleničkih plinova po sektorima</w:t>
      </w:r>
      <w:bookmarkEnd w:id="111"/>
      <w:bookmarkEnd w:id="112"/>
      <w:bookmarkEnd w:id="113"/>
      <w:bookmarkEnd w:id="114"/>
      <w:bookmarkEnd w:id="115"/>
    </w:p>
    <w:p w:rsidR="007D4A93" w:rsidRPr="00654E3B" w:rsidRDefault="00EF0BEB">
      <w:pPr>
        <w:rPr>
          <w:rFonts w:cs="Times New Roman"/>
        </w:rPr>
      </w:pPr>
      <w:r w:rsidRPr="00654E3B">
        <w:rPr>
          <w:rFonts w:cs="Times New Roman"/>
        </w:rPr>
        <w:t>U ukupnoj emisiji stakleničkih plinova ugljikov dioksid (CO</w:t>
      </w:r>
      <w:r w:rsidRPr="00654E3B">
        <w:rPr>
          <w:rFonts w:cs="Times New Roman"/>
          <w:vertAlign w:val="subscript"/>
        </w:rPr>
        <w:t>2</w:t>
      </w:r>
      <w:r w:rsidRPr="00654E3B">
        <w:rPr>
          <w:rFonts w:cs="Times New Roman"/>
        </w:rPr>
        <w:t>) čini 74,5</w:t>
      </w:r>
      <w:r w:rsidR="00060992" w:rsidRPr="00654E3B">
        <w:rPr>
          <w:rFonts w:cs="Times New Roman"/>
        </w:rPr>
        <w:t xml:space="preserve"> %</w:t>
      </w:r>
      <w:r w:rsidRPr="00654E3B">
        <w:rPr>
          <w:rFonts w:cs="Times New Roman"/>
        </w:rPr>
        <w:t>, metan (CH</w:t>
      </w:r>
      <w:r w:rsidRPr="00654E3B">
        <w:rPr>
          <w:rFonts w:cs="Times New Roman"/>
          <w:vertAlign w:val="subscript"/>
        </w:rPr>
        <w:t>4</w:t>
      </w:r>
      <w:r w:rsidRPr="00654E3B">
        <w:rPr>
          <w:rFonts w:cs="Times New Roman"/>
        </w:rPr>
        <w:t>) 16,3</w:t>
      </w:r>
      <w:r w:rsidR="00060992" w:rsidRPr="00654E3B">
        <w:rPr>
          <w:rFonts w:cs="Times New Roman"/>
        </w:rPr>
        <w:t xml:space="preserve"> %</w:t>
      </w:r>
      <w:r w:rsidRPr="00654E3B">
        <w:rPr>
          <w:rFonts w:cs="Times New Roman"/>
        </w:rPr>
        <w:t>, didušikov oksid (N</w:t>
      </w:r>
      <w:r w:rsidRPr="00654E3B">
        <w:rPr>
          <w:rFonts w:cs="Times New Roman"/>
          <w:vertAlign w:val="subscript"/>
        </w:rPr>
        <w:t>2</w:t>
      </w:r>
      <w:r w:rsidRPr="00654E3B">
        <w:rPr>
          <w:rFonts w:cs="Times New Roman"/>
        </w:rPr>
        <w:t>O) 7,1</w:t>
      </w:r>
      <w:r w:rsidR="00060992" w:rsidRPr="00654E3B">
        <w:rPr>
          <w:rFonts w:cs="Times New Roman"/>
        </w:rPr>
        <w:t xml:space="preserve"> %</w:t>
      </w:r>
      <w:r w:rsidRPr="00654E3B">
        <w:rPr>
          <w:rFonts w:cs="Times New Roman"/>
        </w:rPr>
        <w:t>, a fluorirani ugljikovodici 2,1</w:t>
      </w:r>
      <w:r w:rsidR="00060992" w:rsidRPr="00654E3B">
        <w:rPr>
          <w:rFonts w:cs="Times New Roman"/>
        </w:rPr>
        <w:t xml:space="preserve"> %</w:t>
      </w:r>
      <w:r w:rsidRPr="00654E3B">
        <w:rPr>
          <w:rFonts w:cs="Times New Roman"/>
        </w:rPr>
        <w:t>. U Europski sustav trgovanja emisijskim jedinicama (</w:t>
      </w:r>
      <w:r w:rsidR="003A7DC8" w:rsidRPr="00654E3B">
        <w:rPr>
          <w:rFonts w:cs="Times New Roman"/>
        </w:rPr>
        <w:t xml:space="preserve">EU </w:t>
      </w:r>
      <w:r w:rsidRPr="00654E3B">
        <w:rPr>
          <w:rFonts w:cs="Times New Roman"/>
        </w:rPr>
        <w:t>ETS) uključeni su svi energetski izvori s ulaznom nazivnom toplinskom snagom većom od 20 MW (termoelektrane, rafinerije), industrija mineralnih proizvoda (cement, staklo, opeka), kemijska industrija i industrija željeza i čelika. Emisija ETS-a čini 31,3</w:t>
      </w:r>
      <w:r w:rsidR="00060992" w:rsidRPr="00654E3B">
        <w:rPr>
          <w:rFonts w:cs="Times New Roman"/>
        </w:rPr>
        <w:t xml:space="preserve"> %</w:t>
      </w:r>
      <w:r w:rsidRPr="00654E3B">
        <w:rPr>
          <w:rFonts w:cs="Times New Roman"/>
        </w:rPr>
        <w:t xml:space="preserve"> </w:t>
      </w:r>
      <w:r w:rsidR="00674DCC" w:rsidRPr="00654E3B">
        <w:rPr>
          <w:rFonts w:cs="Times New Roman"/>
        </w:rPr>
        <w:t xml:space="preserve">ukupnih </w:t>
      </w:r>
      <w:r w:rsidRPr="00654E3B">
        <w:rPr>
          <w:rFonts w:cs="Times New Roman"/>
        </w:rPr>
        <w:t>emisij</w:t>
      </w:r>
      <w:r w:rsidR="00674DCC" w:rsidRPr="00654E3B">
        <w:rPr>
          <w:rFonts w:cs="Times New Roman"/>
        </w:rPr>
        <w:t xml:space="preserve">a stakleničkih plinova </w:t>
      </w:r>
      <w:r w:rsidRPr="00654E3B">
        <w:rPr>
          <w:rFonts w:cs="Times New Roman"/>
        </w:rPr>
        <w:t>u 2018. godini.</w:t>
      </w:r>
    </w:p>
    <w:p w:rsidR="007D4A93" w:rsidRPr="00654E3B" w:rsidRDefault="00EF0BEB">
      <w:pPr>
        <w:rPr>
          <w:rFonts w:cs="Times New Roman"/>
        </w:rPr>
      </w:pPr>
      <w:r w:rsidRPr="00654E3B">
        <w:rPr>
          <w:rFonts w:cs="Times New Roman"/>
        </w:rPr>
        <w:t>Intenzitet emisije po bruto nacionalnom doprinosu (BDP)</w:t>
      </w:r>
      <w:r w:rsidR="00C30C41" w:rsidRPr="00654E3B">
        <w:rPr>
          <w:rFonts w:cs="Times New Roman"/>
        </w:rPr>
        <w:t>,</w:t>
      </w:r>
      <w:r w:rsidRPr="00654E3B">
        <w:rPr>
          <w:rFonts w:cs="Times New Roman"/>
        </w:rPr>
        <w:t xml:space="preserve"> smanjio se za 34</w:t>
      </w:r>
      <w:r w:rsidR="00060992" w:rsidRPr="00654E3B">
        <w:rPr>
          <w:rFonts w:cs="Times New Roman"/>
        </w:rPr>
        <w:t xml:space="preserve"> %</w:t>
      </w:r>
      <w:r w:rsidRPr="00654E3B">
        <w:rPr>
          <w:rFonts w:cs="Times New Roman"/>
        </w:rPr>
        <w:t xml:space="preserve"> u razdoblju od 2004. do 2018. godine, odnosno za oko 2,5</w:t>
      </w:r>
      <w:r w:rsidR="00060992" w:rsidRPr="00654E3B">
        <w:rPr>
          <w:rFonts w:cs="Times New Roman"/>
        </w:rPr>
        <w:t xml:space="preserve"> %</w:t>
      </w:r>
      <w:r w:rsidRPr="00654E3B">
        <w:rPr>
          <w:rFonts w:cs="Times New Roman"/>
        </w:rPr>
        <w:t xml:space="preserve"> godišnje. </w:t>
      </w:r>
    </w:p>
    <w:p w:rsidR="007D4A93" w:rsidRPr="00654E3B" w:rsidRDefault="00EF0BEB">
      <w:pPr>
        <w:rPr>
          <w:rFonts w:cs="Times New Roman"/>
          <w:b/>
          <w:i/>
          <w:u w:val="single"/>
        </w:rPr>
      </w:pPr>
      <w:r w:rsidRPr="00654E3B">
        <w:rPr>
          <w:rFonts w:cs="Times New Roman"/>
          <w:b/>
          <w:i/>
          <w:u w:val="single"/>
        </w:rPr>
        <w:t xml:space="preserve">Vizija Niskougljične strategije </w:t>
      </w:r>
    </w:p>
    <w:p w:rsidR="007D4A93" w:rsidRPr="00654E3B" w:rsidRDefault="00EF0BEB">
      <w:pPr>
        <w:rPr>
          <w:rFonts w:cs="Times New Roman"/>
        </w:rPr>
      </w:pPr>
      <w:r w:rsidRPr="00654E3B">
        <w:rPr>
          <w:rFonts w:cs="Times New Roman"/>
        </w:rPr>
        <w:lastRenderedPageBreak/>
        <w:t xml:space="preserve">Niskougljična strategija vodi viziji društva u kojem ćemo živjeti zdravije, ugodnije, s niskougljičnim rastom i djelotvornim upravljanjem resursima. Postojeći nacionalni fond zgrada bit će obnovljen, a novi građen po principima </w:t>
      </w:r>
      <w:r w:rsidR="00F91775" w:rsidRPr="00654E3B">
        <w:rPr>
          <w:rFonts w:cs="Times New Roman"/>
        </w:rPr>
        <w:t>za zgrada gotovo nulte energije</w:t>
      </w:r>
      <w:r w:rsidR="00F91775" w:rsidRPr="00654E3B" w:rsidDel="00F91775">
        <w:rPr>
          <w:rFonts w:cs="Times New Roman"/>
        </w:rPr>
        <w:t xml:space="preserve"> </w:t>
      </w:r>
      <w:r w:rsidRPr="00654E3B">
        <w:rPr>
          <w:rFonts w:cs="Times New Roman"/>
        </w:rPr>
        <w:t>i kružnog gospodarenja. Opskrba energijom bit će sigurnija, iz obnovljivih izvora i s malim emisijama, a potrošači energije bit će i proizvođači energije. Kombinacija proizvodnje električne energije na mjestu potrošnje i dobava iz javne mreže pružit će visoku razinu sigurnosti opskrbe električne energije. Prometni sustav bit će intermodalan i integriran, pretežito s vozilima na električni pogon i s korištenjem niskougljičnog i za klimu neutralnog goriva. Industrija i poljoprivreda bit će učinkovite i povezane sa svim sektorima gospodarstva, a pritom će se smanjivat</w:t>
      </w:r>
      <w:r w:rsidR="00C30C41" w:rsidRPr="00654E3B">
        <w:rPr>
          <w:rFonts w:cs="Times New Roman"/>
        </w:rPr>
        <w:t>i</w:t>
      </w:r>
      <w:r w:rsidRPr="00654E3B">
        <w:rPr>
          <w:rFonts w:cs="Times New Roman"/>
        </w:rPr>
        <w:t xml:space="preserve"> stvaranje otpad</w:t>
      </w:r>
      <w:r w:rsidR="00096906" w:rsidRPr="00654E3B">
        <w:rPr>
          <w:rFonts w:cs="Times New Roman"/>
        </w:rPr>
        <w:t>nih</w:t>
      </w:r>
      <w:r w:rsidRPr="00654E3B">
        <w:rPr>
          <w:rFonts w:cs="Times New Roman"/>
        </w:rPr>
        <w:t xml:space="preserve"> materijal</w:t>
      </w:r>
      <w:r w:rsidR="00096906" w:rsidRPr="00654E3B">
        <w:rPr>
          <w:rFonts w:cs="Times New Roman"/>
        </w:rPr>
        <w:t>a</w:t>
      </w:r>
      <w:r w:rsidRPr="00654E3B">
        <w:rPr>
          <w:rFonts w:cs="Times New Roman"/>
        </w:rPr>
        <w:t xml:space="preserve"> u integriranom i kružnom gospodarstvu. </w:t>
      </w:r>
    </w:p>
    <w:p w:rsidR="007D4A93" w:rsidRPr="00654E3B" w:rsidRDefault="00EF0BEB">
      <w:pPr>
        <w:rPr>
          <w:rFonts w:cs="Times New Roman"/>
          <w:b/>
          <w:i/>
          <w:u w:val="single"/>
        </w:rPr>
      </w:pPr>
      <w:r w:rsidRPr="00654E3B">
        <w:rPr>
          <w:rFonts w:cs="Times New Roman"/>
          <w:b/>
          <w:i/>
          <w:u w:val="single"/>
        </w:rPr>
        <w:t xml:space="preserve">Ciljevi i scenariji Niskougljične strategije </w:t>
      </w:r>
    </w:p>
    <w:p w:rsidR="007D4A93" w:rsidRPr="00654E3B" w:rsidRDefault="00EF0BEB">
      <w:pPr>
        <w:rPr>
          <w:rFonts w:cs="Times New Roman"/>
        </w:rPr>
      </w:pPr>
      <w:r w:rsidRPr="00654E3B">
        <w:rPr>
          <w:rFonts w:cs="Times New Roman"/>
        </w:rPr>
        <w:t>Niskougljična strategija postavlja put za prijelaz prema održivom</w:t>
      </w:r>
      <w:r w:rsidR="00C30C41" w:rsidRPr="00654E3B">
        <w:rPr>
          <w:rFonts w:cs="Times New Roman"/>
        </w:rPr>
        <w:t>,</w:t>
      </w:r>
      <w:r w:rsidRPr="00654E3B">
        <w:rPr>
          <w:rFonts w:cs="Times New Roman"/>
        </w:rPr>
        <w:t xml:space="preserve"> konkurentnom gospodarstvu, u kojem se gospodarski rast ostvaruje uz male emisije stakleničkih plinova. Ciljevi smanjenja emisije stakleničkih plinova do 2030. i 2050. godine</w:t>
      </w:r>
      <w:r w:rsidR="00C30C41" w:rsidRPr="00654E3B">
        <w:rPr>
          <w:rFonts w:cs="Times New Roman"/>
        </w:rPr>
        <w:t>,</w:t>
      </w:r>
      <w:r w:rsidRPr="00654E3B">
        <w:rPr>
          <w:rFonts w:cs="Times New Roman"/>
        </w:rPr>
        <w:t xml:space="preserve"> provodit će se u Republici Hrvatskoj u okviru političkog okvira koji je usvojila Europska unija. Nova strategija rasta Europske unije (EU) formulirana kroz Europski zeleni plan (2019.)</w:t>
      </w:r>
      <w:r w:rsidR="00C30C41" w:rsidRPr="00654E3B">
        <w:rPr>
          <w:rFonts w:cs="Times New Roman"/>
        </w:rPr>
        <w:t>,</w:t>
      </w:r>
      <w:r w:rsidRPr="00654E3B">
        <w:rPr>
          <w:rFonts w:cs="Times New Roman"/>
        </w:rPr>
        <w:t xml:space="preserve"> postavlja cilj</w:t>
      </w:r>
      <w:r w:rsidRPr="00654E3B">
        <w:rPr>
          <w:rFonts w:cs="Times New Roman"/>
          <w:b/>
        </w:rPr>
        <w:t xml:space="preserve"> </w:t>
      </w:r>
      <w:r w:rsidRPr="00654E3B">
        <w:rPr>
          <w:rFonts w:cs="Times New Roman"/>
        </w:rPr>
        <w:t>preobrazbe u pravedno i prosperitetno društvo s modernim, resursno učinkovitim i konkurentnim gospodarstvom</w:t>
      </w:r>
      <w:r w:rsidR="00C30C41" w:rsidRPr="00654E3B">
        <w:rPr>
          <w:rFonts w:cs="Times New Roman"/>
        </w:rPr>
        <w:t>,</w:t>
      </w:r>
      <w:r w:rsidRPr="00654E3B">
        <w:rPr>
          <w:rFonts w:cs="Times New Roman"/>
        </w:rPr>
        <w:t xml:space="preserve"> u kojem 2050. godine neće biti neto emisija stakleničkih plinova.</w:t>
      </w:r>
    </w:p>
    <w:p w:rsidR="007D4A93" w:rsidRPr="00654E3B" w:rsidRDefault="00EF0BEB">
      <w:pPr>
        <w:rPr>
          <w:rFonts w:cs="Times New Roman"/>
          <w:b/>
        </w:rPr>
      </w:pPr>
      <w:r w:rsidRPr="00654E3B">
        <w:rPr>
          <w:rFonts w:cs="Times New Roman"/>
          <w:b/>
        </w:rPr>
        <w:t>Opći cilj</w:t>
      </w:r>
      <w:r w:rsidR="00500C77" w:rsidRPr="00654E3B">
        <w:rPr>
          <w:rFonts w:cs="Times New Roman"/>
          <w:b/>
        </w:rPr>
        <w:t>evi Niskougljične strategije su:</w:t>
      </w:r>
    </w:p>
    <w:p w:rsidR="007D4A93" w:rsidRPr="00654E3B" w:rsidRDefault="00FC11A8" w:rsidP="000C6795">
      <w:pPr>
        <w:pStyle w:val="ListParagraph"/>
        <w:numPr>
          <w:ilvl w:val="0"/>
          <w:numId w:val="7"/>
        </w:numPr>
        <w:rPr>
          <w:rFonts w:cs="Times New Roman"/>
        </w:rPr>
      </w:pPr>
      <w:r w:rsidRPr="00654E3B">
        <w:rPr>
          <w:rFonts w:cs="Times New Roman"/>
        </w:rPr>
        <w:t>p</w:t>
      </w:r>
      <w:r w:rsidR="00EF0BEB" w:rsidRPr="00654E3B">
        <w:rPr>
          <w:rFonts w:cs="Times New Roman"/>
        </w:rPr>
        <w:t xml:space="preserve">ostizanje održivog razvoja temeljenog na znanju i konkurentnom niskougljičnom gospodarstvu i </w:t>
      </w:r>
      <w:r w:rsidR="00FF2C71" w:rsidRPr="00654E3B">
        <w:rPr>
          <w:rFonts w:cs="Times New Roman"/>
        </w:rPr>
        <w:t xml:space="preserve">učinkovitom korištenju </w:t>
      </w:r>
      <w:r w:rsidRPr="00654E3B">
        <w:rPr>
          <w:rFonts w:cs="Times New Roman"/>
        </w:rPr>
        <w:t>resursa</w:t>
      </w:r>
    </w:p>
    <w:p w:rsidR="007D4A93" w:rsidRPr="00654E3B" w:rsidRDefault="00FC11A8" w:rsidP="000C6795">
      <w:pPr>
        <w:pStyle w:val="ListParagraph"/>
        <w:numPr>
          <w:ilvl w:val="0"/>
          <w:numId w:val="7"/>
        </w:numPr>
        <w:rPr>
          <w:rFonts w:cs="Times New Roman"/>
        </w:rPr>
      </w:pPr>
      <w:r w:rsidRPr="00654E3B">
        <w:rPr>
          <w:rFonts w:cs="Times New Roman"/>
        </w:rPr>
        <w:t>p</w:t>
      </w:r>
      <w:r w:rsidR="00EF0BEB" w:rsidRPr="00654E3B">
        <w:rPr>
          <w:rFonts w:cs="Times New Roman"/>
        </w:rPr>
        <w:t>ovećanje sigurnosti opskrbe energijom, održivost energetske opskrbe, povećanje dostupnosti energije i</w:t>
      </w:r>
      <w:r w:rsidRPr="00654E3B">
        <w:rPr>
          <w:rFonts w:cs="Times New Roman"/>
        </w:rPr>
        <w:t xml:space="preserve"> smanjenje energetske ovisnosti</w:t>
      </w:r>
    </w:p>
    <w:p w:rsidR="007D4A93" w:rsidRPr="00654E3B" w:rsidRDefault="00FC11A8" w:rsidP="000C6795">
      <w:pPr>
        <w:pStyle w:val="ListParagraph"/>
        <w:numPr>
          <w:ilvl w:val="0"/>
          <w:numId w:val="7"/>
        </w:numPr>
        <w:rPr>
          <w:rFonts w:cs="Times New Roman"/>
        </w:rPr>
      </w:pPr>
      <w:r w:rsidRPr="00654E3B">
        <w:rPr>
          <w:rFonts w:cs="Times New Roman"/>
        </w:rPr>
        <w:t>s</w:t>
      </w:r>
      <w:r w:rsidR="00EF0BEB" w:rsidRPr="00654E3B">
        <w:rPr>
          <w:rFonts w:cs="Times New Roman"/>
        </w:rPr>
        <w:t>olidarnost izvršavanjem obveza Republike Hrvatske prema međunarodnim sporazumima, u okviru politike EU-a, kao dio naše povijesne odgovornosti</w:t>
      </w:r>
      <w:r w:rsidRPr="00654E3B">
        <w:rPr>
          <w:rFonts w:cs="Times New Roman"/>
        </w:rPr>
        <w:t xml:space="preserve"> i doprinos globalnim ciljevima</w:t>
      </w:r>
    </w:p>
    <w:p w:rsidR="007D4A93" w:rsidRPr="00654E3B" w:rsidRDefault="00FC11A8" w:rsidP="000C6795">
      <w:pPr>
        <w:pStyle w:val="ListParagraph"/>
        <w:numPr>
          <w:ilvl w:val="0"/>
          <w:numId w:val="7"/>
        </w:numPr>
        <w:rPr>
          <w:rFonts w:cs="Times New Roman"/>
        </w:rPr>
      </w:pPr>
      <w:r w:rsidRPr="00654E3B">
        <w:rPr>
          <w:rFonts w:cs="Times New Roman"/>
        </w:rPr>
        <w:t>s</w:t>
      </w:r>
      <w:r w:rsidR="00EF0BEB" w:rsidRPr="00654E3B">
        <w:rPr>
          <w:rFonts w:cs="Times New Roman"/>
        </w:rPr>
        <w:t>manjenje onečišćenja zraka i utjecaja na zdravlje te kvalitetu života građana.</w:t>
      </w:r>
    </w:p>
    <w:p w:rsidR="007D4A93" w:rsidRPr="00654E3B" w:rsidRDefault="00EF0BEB">
      <w:pPr>
        <w:rPr>
          <w:rFonts w:cs="Times New Roman"/>
          <w:b/>
        </w:rPr>
      </w:pPr>
      <w:r w:rsidRPr="00654E3B">
        <w:rPr>
          <w:rFonts w:cs="Times New Roman"/>
        </w:rPr>
        <w:t xml:space="preserve">Odabrano je oko stotinu mjera koje se mogu primijeniti za smanjenje emisija (tehničkog i ne-tehničkog tipa), u različitim sektorima: proizvodnji električne energije i topline, proizvodnji i preradi goriva, prometu, općoj potrošnji (kućanstva i usluge), industriji, poljoprivredi, korištenju zemljišta, promjeni korištenja zemljišta i šumarstvu, otpadu, korištenju proizvoda te fugitivnim emisijama (Prilog V.). </w:t>
      </w:r>
      <w:r w:rsidRPr="00654E3B">
        <w:rPr>
          <w:rFonts w:cs="Times New Roman"/>
          <w:b/>
        </w:rPr>
        <w:t>Ove mjere su ugrađene u tri glavna scenarija: Referentni scenarij (NUR), Scenarij postupne tranzicije (NU1) i Scenarij snažne tranzicije (NU2).</w:t>
      </w:r>
    </w:p>
    <w:p w:rsidR="007D4A93" w:rsidRPr="00654E3B" w:rsidRDefault="00EF0BEB">
      <w:pPr>
        <w:rPr>
          <w:rFonts w:cs="Times New Roman"/>
        </w:rPr>
      </w:pPr>
      <w:r w:rsidRPr="00654E3B">
        <w:rPr>
          <w:rFonts w:cs="Times New Roman"/>
          <w:b/>
        </w:rPr>
        <w:t>Referentni scenarij NUR</w:t>
      </w:r>
      <w:r w:rsidRPr="00654E3B">
        <w:rPr>
          <w:rFonts w:cs="Times New Roman"/>
        </w:rPr>
        <w:t xml:space="preserve"> predstavlja nastavak postojeće prakse, u skladu s važećim zakonodavstvom i prihvaćenim ciljevima do 2030. godine. Ovaj scenarij pretpostavlja tehnološki napredak i rast udjela obnovljivih izvora energije i energetske učinkovitosti temeljem tržišne situacije i danas utvrđenih ciljnih energetskih standarda. U odnosu na niskougljične scenarije za dostizanje ciljeva, to je scenarij s </w:t>
      </w:r>
      <w:r w:rsidR="00982D90" w:rsidRPr="00654E3B">
        <w:rPr>
          <w:rFonts w:cs="Times New Roman"/>
        </w:rPr>
        <w:t xml:space="preserve">blažim povećanjem udjela </w:t>
      </w:r>
      <w:r w:rsidRPr="00654E3B">
        <w:rPr>
          <w:rFonts w:cs="Times New Roman"/>
        </w:rPr>
        <w:t xml:space="preserve">obnovljivih izvora energije i energetske učinkovitosti. Emisije u ovom scenariju se smanjuju za </w:t>
      </w:r>
      <w:r w:rsidR="003A7DC8" w:rsidRPr="00654E3B">
        <w:rPr>
          <w:rFonts w:cs="Times New Roman"/>
        </w:rPr>
        <w:t>28,9</w:t>
      </w:r>
      <w:r w:rsidR="00060992" w:rsidRPr="00654E3B">
        <w:rPr>
          <w:rFonts w:cs="Times New Roman"/>
        </w:rPr>
        <w:t xml:space="preserve"> %</w:t>
      </w:r>
      <w:r w:rsidRPr="00654E3B">
        <w:rPr>
          <w:rFonts w:cs="Times New Roman"/>
        </w:rPr>
        <w:t xml:space="preserve"> u 2030. godini te </w:t>
      </w:r>
      <w:r w:rsidR="003A7DC8" w:rsidRPr="00654E3B">
        <w:rPr>
          <w:rFonts w:cs="Times New Roman"/>
        </w:rPr>
        <w:t>46,3</w:t>
      </w:r>
      <w:r w:rsidRPr="00654E3B">
        <w:rPr>
          <w:rFonts w:cs="Times New Roman"/>
        </w:rPr>
        <w:t xml:space="preserve"> u 2050. godini u odnosu na razinu emisije u </w:t>
      </w:r>
      <w:r w:rsidR="003A7DC8" w:rsidRPr="00654E3B">
        <w:rPr>
          <w:rFonts w:cs="Times New Roman"/>
        </w:rPr>
        <w:t>1990</w:t>
      </w:r>
      <w:r w:rsidRPr="00654E3B">
        <w:rPr>
          <w:rFonts w:cs="Times New Roman"/>
        </w:rPr>
        <w:t>. godini. Udio obnovljivih izvora u ovom scenariju je 35,7</w:t>
      </w:r>
      <w:r w:rsidR="00060992" w:rsidRPr="00654E3B">
        <w:rPr>
          <w:rFonts w:cs="Times New Roman"/>
        </w:rPr>
        <w:t xml:space="preserve"> %</w:t>
      </w:r>
      <w:r w:rsidRPr="00654E3B">
        <w:rPr>
          <w:rFonts w:cs="Times New Roman"/>
        </w:rPr>
        <w:t xml:space="preserve"> u 2030. godini, a 45,5</w:t>
      </w:r>
      <w:r w:rsidR="00060992" w:rsidRPr="00654E3B">
        <w:rPr>
          <w:rFonts w:cs="Times New Roman"/>
        </w:rPr>
        <w:t xml:space="preserve"> %</w:t>
      </w:r>
      <w:r w:rsidRPr="00654E3B">
        <w:rPr>
          <w:rFonts w:cs="Times New Roman"/>
        </w:rPr>
        <w:t xml:space="preserve"> u 2050. godini. Ipak, ovaj scenarij ne vodi niskougljičnom gospodarstvu.</w:t>
      </w:r>
    </w:p>
    <w:p w:rsidR="007D4A93" w:rsidRPr="00654E3B" w:rsidRDefault="00EF0BEB">
      <w:pPr>
        <w:rPr>
          <w:rFonts w:cs="Times New Roman"/>
        </w:rPr>
      </w:pPr>
      <w:r w:rsidRPr="00654E3B">
        <w:rPr>
          <w:rFonts w:cs="Times New Roman"/>
          <w:b/>
        </w:rPr>
        <w:t>Scenarij postupne tranzicije NU1</w:t>
      </w:r>
      <w:r w:rsidRPr="00654E3B">
        <w:rPr>
          <w:rFonts w:cs="Times New Roman"/>
        </w:rPr>
        <w:t xml:space="preserve"> dimenzioniran je tako da se ispune ciljevi smanjenja emisije u okviru interne sheme obveza EU i s tim u vezi ciljeva Pariškog sporazuma da se porast temperature održi unutar 2°C, a po mogućnosti i unutar 1,5°C. U ovom scenariju</w:t>
      </w:r>
      <w:r w:rsidR="003F1557" w:rsidRPr="00654E3B">
        <w:rPr>
          <w:rFonts w:cs="Times New Roman"/>
        </w:rPr>
        <w:t>,</w:t>
      </w:r>
      <w:r w:rsidRPr="00654E3B">
        <w:rPr>
          <w:rFonts w:cs="Times New Roman"/>
        </w:rPr>
        <w:t xml:space="preserve"> smanjenje emisije se postiže primjenom niza troškovno učinkovitih mjera, snažnim poticanjem energetske učinkovitosti i primjenom obnovljivih izvora energije koji bi, u proizvodnji električne energije, nakon 2030. godine mogli velikim dijelom biti potpuno tržišno konkurentni. Scenarij pretpostavlja snažan rast cijena </w:t>
      </w:r>
      <w:r w:rsidR="00775490" w:rsidRPr="00654E3B">
        <w:rPr>
          <w:rFonts w:cs="Times New Roman"/>
        </w:rPr>
        <w:t xml:space="preserve">emisijskih jedinica, koje predstavljaju pravo na emisiju jedne tone ekvivalenta </w:t>
      </w:r>
      <w:r w:rsidRPr="00654E3B">
        <w:rPr>
          <w:rFonts w:cs="Times New Roman"/>
        </w:rPr>
        <w:t>CO</w:t>
      </w:r>
      <w:r w:rsidRPr="00654E3B">
        <w:rPr>
          <w:rFonts w:cs="Times New Roman"/>
          <w:vertAlign w:val="subscript"/>
        </w:rPr>
        <w:t>2</w:t>
      </w:r>
      <w:r w:rsidR="00775490" w:rsidRPr="00654E3B">
        <w:rPr>
          <w:rFonts w:cs="Times New Roman"/>
        </w:rPr>
        <w:t xml:space="preserve"> (</w:t>
      </w:r>
      <w:r w:rsidR="00060992" w:rsidRPr="00654E3B">
        <w:rPr>
          <w:rFonts w:cs="Times New Roman"/>
        </w:rPr>
        <w:t>u daljnjem tekstuu daljnjem tekstu</w:t>
      </w:r>
      <w:r w:rsidR="00775490" w:rsidRPr="00654E3B">
        <w:rPr>
          <w:rFonts w:cs="Times New Roman"/>
        </w:rPr>
        <w:t>: emisijska jedinica),</w:t>
      </w:r>
      <w:r w:rsidRPr="00654E3B">
        <w:rPr>
          <w:rFonts w:cs="Times New Roman"/>
        </w:rPr>
        <w:t xml:space="preserve"> do 92,1 EUR/t CO</w:t>
      </w:r>
      <w:r w:rsidRPr="00654E3B">
        <w:rPr>
          <w:rFonts w:cs="Times New Roman"/>
          <w:vertAlign w:val="subscript"/>
        </w:rPr>
        <w:t>2</w:t>
      </w:r>
      <w:r w:rsidRPr="00654E3B">
        <w:rPr>
          <w:rFonts w:cs="Times New Roman"/>
        </w:rPr>
        <w:t xml:space="preserve"> u 2050. godini, što je glavni pokretač tranzicije. Udio obnovljivih izvora energije u 2030. godini po ovom scenariju je 36,4</w:t>
      </w:r>
      <w:r w:rsidR="00060992" w:rsidRPr="00654E3B">
        <w:rPr>
          <w:rFonts w:cs="Times New Roman"/>
        </w:rPr>
        <w:t xml:space="preserve"> %</w:t>
      </w:r>
      <w:r w:rsidRPr="00654E3B">
        <w:rPr>
          <w:rFonts w:cs="Times New Roman"/>
        </w:rPr>
        <w:t>, a u 2050. godini mogao bi biti 53,2</w:t>
      </w:r>
      <w:r w:rsidR="00060992" w:rsidRPr="00654E3B">
        <w:rPr>
          <w:rFonts w:cs="Times New Roman"/>
        </w:rPr>
        <w:t xml:space="preserve"> %</w:t>
      </w:r>
      <w:r w:rsidRPr="00654E3B">
        <w:rPr>
          <w:rFonts w:cs="Times New Roman"/>
        </w:rPr>
        <w:t>. NU1 scenarijem smanjuje se emisija stakleničkih plinova za 33,5</w:t>
      </w:r>
      <w:r w:rsidR="00060992" w:rsidRPr="00654E3B">
        <w:rPr>
          <w:rFonts w:cs="Times New Roman"/>
        </w:rPr>
        <w:t xml:space="preserve"> %</w:t>
      </w:r>
      <w:r w:rsidRPr="00654E3B">
        <w:rPr>
          <w:rFonts w:cs="Times New Roman"/>
        </w:rPr>
        <w:t xml:space="preserve"> u 2030. godini i 56,8</w:t>
      </w:r>
      <w:r w:rsidR="00060992" w:rsidRPr="00654E3B">
        <w:rPr>
          <w:rFonts w:cs="Times New Roman"/>
        </w:rPr>
        <w:t xml:space="preserve"> %</w:t>
      </w:r>
      <w:r w:rsidRPr="00654E3B">
        <w:rPr>
          <w:rFonts w:cs="Times New Roman"/>
        </w:rPr>
        <w:t xml:space="preserve"> u 2050. godini, u odnosu na 1990. godinu.</w:t>
      </w:r>
    </w:p>
    <w:p w:rsidR="007D4A93" w:rsidRPr="00654E3B" w:rsidRDefault="00EF0BEB">
      <w:pPr>
        <w:rPr>
          <w:rFonts w:cs="Times New Roman"/>
        </w:rPr>
      </w:pPr>
      <w:r w:rsidRPr="00654E3B">
        <w:rPr>
          <w:rFonts w:cs="Times New Roman"/>
          <w:b/>
        </w:rPr>
        <w:lastRenderedPageBreak/>
        <w:t>Scenarij snažne tranzicije NU2</w:t>
      </w:r>
      <w:r w:rsidRPr="00654E3B">
        <w:rPr>
          <w:rFonts w:cs="Times New Roman"/>
        </w:rPr>
        <w:t xml:space="preserve"> je dimenzioniran s ciljem da se u 2050. godini postigne smanjenje emisije </w:t>
      </w:r>
      <w:r w:rsidR="00775490" w:rsidRPr="00654E3B">
        <w:rPr>
          <w:rFonts w:cs="Times New Roman"/>
        </w:rPr>
        <w:t xml:space="preserve">za </w:t>
      </w:r>
      <w:r w:rsidRPr="00654E3B">
        <w:rPr>
          <w:rFonts w:cs="Times New Roman"/>
        </w:rPr>
        <w:t>80</w:t>
      </w:r>
      <w:r w:rsidR="00060992" w:rsidRPr="00654E3B">
        <w:rPr>
          <w:rFonts w:cs="Times New Roman"/>
        </w:rPr>
        <w:t xml:space="preserve"> %</w:t>
      </w:r>
      <w:r w:rsidRPr="00654E3B">
        <w:rPr>
          <w:rFonts w:cs="Times New Roman"/>
        </w:rPr>
        <w:t xml:space="preserve"> u odnosu na 1990. godinu. U ovom scenariju kao i u NU1 pretpostavlja se snažan porast cijena </w:t>
      </w:r>
      <w:r w:rsidR="00775490" w:rsidRPr="00654E3B">
        <w:rPr>
          <w:rFonts w:cs="Times New Roman"/>
        </w:rPr>
        <w:t>emisijskih jedinica</w:t>
      </w:r>
      <w:r w:rsidR="00775490" w:rsidRPr="00654E3B">
        <w:rPr>
          <w:rFonts w:cs="Times New Roman"/>
          <w:vertAlign w:val="subscript"/>
        </w:rPr>
        <w:t xml:space="preserve"> </w:t>
      </w:r>
      <w:r w:rsidRPr="00654E3B">
        <w:rPr>
          <w:rFonts w:cs="Times New Roman"/>
        </w:rPr>
        <w:t>do 92,1 EUR/t CO</w:t>
      </w:r>
      <w:r w:rsidRPr="00654E3B">
        <w:rPr>
          <w:rFonts w:cs="Times New Roman"/>
          <w:vertAlign w:val="subscript"/>
        </w:rPr>
        <w:t>2</w:t>
      </w:r>
      <w:r w:rsidRPr="00654E3B">
        <w:rPr>
          <w:rFonts w:cs="Times New Roman"/>
        </w:rPr>
        <w:t xml:space="preserve"> u 2050. godini te vrlo snažne mjere energetske učinkovitosti. Udio obnovljivih izvora energije u 2030. godini po ovom scenariju je 36,4</w:t>
      </w:r>
      <w:r w:rsidR="00060992" w:rsidRPr="00654E3B">
        <w:rPr>
          <w:rFonts w:cs="Times New Roman"/>
        </w:rPr>
        <w:t xml:space="preserve"> %</w:t>
      </w:r>
      <w:r w:rsidRPr="00654E3B">
        <w:rPr>
          <w:rFonts w:cs="Times New Roman"/>
        </w:rPr>
        <w:t>, a u 2050. godini mogao bi biti 65,6</w:t>
      </w:r>
      <w:r w:rsidR="00060992" w:rsidRPr="00654E3B">
        <w:rPr>
          <w:rFonts w:cs="Times New Roman"/>
        </w:rPr>
        <w:t xml:space="preserve"> %</w:t>
      </w:r>
      <w:r w:rsidRPr="00654E3B">
        <w:rPr>
          <w:rFonts w:cs="Times New Roman"/>
        </w:rPr>
        <w:t>. U ovom scenariju, u 2050. godini, dominantni izvor emisije ostaje promet, zatim poljoprivreda i industrija. Primjenom danas poznatih mjera, uključivo i one koje su u socio-gospodarskom pogledu prihvatljive za poljoprivredu, moglo bi se postići smanjenje emisije od 73,1</w:t>
      </w:r>
      <w:r w:rsidR="00060992" w:rsidRPr="00654E3B">
        <w:rPr>
          <w:rFonts w:cs="Times New Roman"/>
        </w:rPr>
        <w:t xml:space="preserve"> %</w:t>
      </w:r>
      <w:r w:rsidRPr="00654E3B">
        <w:rPr>
          <w:rFonts w:cs="Times New Roman"/>
        </w:rPr>
        <w:t xml:space="preserve"> u odnosu na 1990. godinu. Ostatak do 80</w:t>
      </w:r>
      <w:r w:rsidR="00060992" w:rsidRPr="00654E3B">
        <w:rPr>
          <w:rFonts w:cs="Times New Roman"/>
        </w:rPr>
        <w:t xml:space="preserve"> %</w:t>
      </w:r>
      <w:r w:rsidRPr="00654E3B">
        <w:rPr>
          <w:rFonts w:cs="Times New Roman"/>
        </w:rPr>
        <w:t xml:space="preserve"> računa se na nove tehnologije koje danas još nisu u primjeni, odnosno nedovoljno razvijene tehnologije.</w:t>
      </w:r>
    </w:p>
    <w:p w:rsidR="007D4A93" w:rsidRPr="00654E3B" w:rsidRDefault="00EF0BEB">
      <w:pPr>
        <w:rPr>
          <w:rFonts w:cs="Times New Roman"/>
        </w:rPr>
      </w:pPr>
      <w:r w:rsidRPr="00654E3B">
        <w:rPr>
          <w:rFonts w:cs="Times New Roman"/>
          <w:b/>
        </w:rPr>
        <w:t xml:space="preserve">Scenarij neto nulte emisije </w:t>
      </w:r>
      <w:r w:rsidR="00C05AE6" w:rsidRPr="00654E3B">
        <w:rPr>
          <w:rFonts w:cs="Times New Roman"/>
          <w:b/>
        </w:rPr>
        <w:t xml:space="preserve">(klimatska neutralnost) </w:t>
      </w:r>
      <w:r w:rsidRPr="00654E3B">
        <w:rPr>
          <w:rFonts w:cs="Times New Roman"/>
        </w:rPr>
        <w:t>je u ovom dokumentu uključen u obliku informacije (Poglavlje 15). Europska komisija je 17. rujna 2020. godine objavila Komunikaciju „Povećanje klimatskih ambicija Europe za 2030. - Ulaganje u klimatski neutralnu budućnost za dobrobit naših građana“</w:t>
      </w:r>
      <w:r w:rsidR="00A1506E" w:rsidRPr="00654E3B">
        <w:rPr>
          <w:rFonts w:cs="Times New Roman"/>
        </w:rPr>
        <w:t>,</w:t>
      </w:r>
      <w:r w:rsidRPr="00654E3B">
        <w:rPr>
          <w:rFonts w:cs="Times New Roman"/>
        </w:rPr>
        <w:t xml:space="preserve"> kao važan element za provedbu Europskog zelenog </w:t>
      </w:r>
      <w:r w:rsidR="008C6396" w:rsidRPr="00654E3B">
        <w:rPr>
          <w:rFonts w:cs="Times New Roman"/>
        </w:rPr>
        <w:t xml:space="preserve">plana </w:t>
      </w:r>
      <w:r w:rsidRPr="00654E3B">
        <w:rPr>
          <w:rFonts w:cs="Times New Roman"/>
        </w:rPr>
        <w:t>i postizanja klimatske neutralnosti do 2050. godine, kojom je predložila povećanja cilja EU u pogledu smanjenja emisija stakleničkih plinova do 2030. godine, s postojećeg -40</w:t>
      </w:r>
      <w:r w:rsidR="00060992" w:rsidRPr="00654E3B">
        <w:rPr>
          <w:rFonts w:cs="Times New Roman"/>
        </w:rPr>
        <w:t xml:space="preserve"> %</w:t>
      </w:r>
      <w:r w:rsidRPr="00654E3B">
        <w:rPr>
          <w:rFonts w:cs="Times New Roman"/>
        </w:rPr>
        <w:t xml:space="preserve"> na -50 do -55</w:t>
      </w:r>
      <w:r w:rsidR="00060992" w:rsidRPr="00654E3B">
        <w:rPr>
          <w:rFonts w:cs="Times New Roman"/>
        </w:rPr>
        <w:t xml:space="preserve"> %</w:t>
      </w:r>
      <w:r w:rsidRPr="00654E3B">
        <w:rPr>
          <w:rFonts w:cs="Times New Roman"/>
        </w:rPr>
        <w:t>. Premijeri su na sastanku Europskog vijeća 10. i 11. prosinca 2020. godine usvojili cilj smanjenja emisija za EU od najmanje -55</w:t>
      </w:r>
      <w:r w:rsidR="00060992" w:rsidRPr="00654E3B">
        <w:rPr>
          <w:rFonts w:cs="Times New Roman"/>
        </w:rPr>
        <w:t xml:space="preserve"> %</w:t>
      </w:r>
      <w:r w:rsidRPr="00654E3B">
        <w:rPr>
          <w:rFonts w:cs="Times New Roman"/>
        </w:rPr>
        <w:t xml:space="preserve"> do 2030. godine. Daljnji korak je izmjena cjelokupnog zakonodavstva EU koje propisuje klimatsku politiku do 2030. godine, a koje dijelom propisuju i ciljeve država članica u navedenom razdoblju. Slijedom svih navedenih očekivanih izmjena propisa EU-a prići će se i izmjeni strateških i drugih dokumenata u Republici Hrvatskoj u pogledu i finalizacije Scenarija neto nulte emisije u Republici Hrvatskoj radi poticanja tranzicije na niskougljični razvoj s ciljem postizanja klimatske neutralnosti 2050. godine te jačanje otpornosti na klimatske promjene. Scenarij neto nulte emisije analizirati će mogućnosti kako na troškovno učinkovit način i putem društveno pravedne tranzicije postići nultu neto stopu emisija stakleničkih plinova u 2050. godini.</w:t>
      </w:r>
    </w:p>
    <w:p w:rsidR="007D4A93" w:rsidRPr="00654E3B" w:rsidRDefault="00EF0BEB">
      <w:pPr>
        <w:rPr>
          <w:rFonts w:cs="Times New Roman"/>
          <w:b/>
        </w:rPr>
      </w:pPr>
      <w:r w:rsidRPr="00654E3B">
        <w:rPr>
          <w:rFonts w:cs="Times New Roman"/>
        </w:rPr>
        <w:t xml:space="preserve">Scenariji NU1 i NU2 vrlo su slični do 2030. godine, tako da ako </w:t>
      </w:r>
      <w:r w:rsidRPr="00654E3B">
        <w:rPr>
          <w:rFonts w:cs="Times New Roman"/>
          <w:b/>
        </w:rPr>
        <w:t xml:space="preserve">Republika Hrvatska krene sa scenarijem postupne tranzicije (NU1) ima vremena preusmjeriti se na ambiciozniji scenarij snažne tranzicije (NU2). </w:t>
      </w:r>
    </w:p>
    <w:p w:rsidR="007D4A93" w:rsidRPr="00654E3B" w:rsidRDefault="00EF0BEB">
      <w:pPr>
        <w:rPr>
          <w:rFonts w:cs="Times New Roman"/>
          <w:b/>
        </w:rPr>
      </w:pPr>
      <w:r w:rsidRPr="00654E3B">
        <w:rPr>
          <w:rFonts w:cs="Times New Roman"/>
          <w:b/>
        </w:rPr>
        <w:t>Cilj je da putanja emisija stakleničkih plinova bude u rasponu između scenarija NU1 i NU2, s težnjom prema ambicioznijem scenariju NU2</w:t>
      </w:r>
      <w:r w:rsidRPr="00654E3B">
        <w:rPr>
          <w:rFonts w:cs="Times New Roman"/>
        </w:rPr>
        <w:t xml:space="preserve"> (slika 1-2).</w:t>
      </w:r>
      <w:r w:rsidRPr="00654E3B">
        <w:rPr>
          <w:rFonts w:cs="Times New Roman"/>
          <w:b/>
        </w:rPr>
        <w:t xml:space="preserve"> </w:t>
      </w:r>
    </w:p>
    <w:p w:rsidR="007D4A93" w:rsidRPr="00F01191" w:rsidRDefault="00EF0BEB">
      <w:pPr>
        <w:pStyle w:val="Slika"/>
        <w:spacing w:before="120"/>
        <w:jc w:val="center"/>
        <w:rPr>
          <w:rFonts w:ascii="Times New Roman" w:hAnsi="Times New Roman"/>
          <w:i/>
        </w:rPr>
      </w:pPr>
      <w:bookmarkStart w:id="116" w:name="_Toc33417094"/>
      <w:r w:rsidRPr="00F01191">
        <w:rPr>
          <w:rFonts w:ascii="Times New Roman" w:hAnsi="Times New Roman"/>
          <w:i/>
          <w:noProof/>
          <w:lang w:val="en-US"/>
        </w:rPr>
        <w:drawing>
          <wp:inline distT="0" distB="0" distL="0" distR="0" wp14:anchorId="6F4A6107" wp14:editId="13793A2A">
            <wp:extent cx="3938016" cy="2353056"/>
            <wp:effectExtent l="0" t="0" r="5715"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jpg"/>
                    <pic:cNvPicPr>
                      <a:picLocks noChangeAspect="1"/>
                    </pic:cNvPicPr>
                  </pic:nvPicPr>
                  <pic:blipFill>
                    <a:blip r:embed="rId11"/>
                    <a:stretch/>
                  </pic:blipFill>
                  <pic:spPr bwMode="auto">
                    <a:xfrm>
                      <a:off x="0" y="0"/>
                      <a:ext cx="3938016" cy="2353056"/>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1-2: Smanjenje emisije stakleničkih plinova NUR, NU1 i NU2 scenarijem</w:t>
      </w:r>
      <w:bookmarkEnd w:id="116"/>
    </w:p>
    <w:p w:rsidR="007D4A93" w:rsidRPr="00654E3B" w:rsidRDefault="00EF0BEB">
      <w:pPr>
        <w:rPr>
          <w:rFonts w:cs="Times New Roman"/>
        </w:rPr>
      </w:pPr>
      <w:r w:rsidRPr="00654E3B">
        <w:rPr>
          <w:rFonts w:cs="Times New Roman"/>
        </w:rPr>
        <w:t>U 2030. godini</w:t>
      </w:r>
      <w:r w:rsidR="00077CC3" w:rsidRPr="00654E3B">
        <w:rPr>
          <w:rFonts w:cs="Times New Roman"/>
        </w:rPr>
        <w:t xml:space="preserve"> se u odnosu na razine iz 1990. godine</w:t>
      </w:r>
      <w:r w:rsidRPr="00654E3B">
        <w:rPr>
          <w:rFonts w:cs="Times New Roman"/>
        </w:rPr>
        <w:t xml:space="preserve"> u NU1 scenariju postiže ukupno smanjenje od 33,5</w:t>
      </w:r>
      <w:r w:rsidR="00060992" w:rsidRPr="00654E3B">
        <w:rPr>
          <w:rFonts w:cs="Times New Roman"/>
        </w:rPr>
        <w:t xml:space="preserve"> %</w:t>
      </w:r>
      <w:r w:rsidRPr="00654E3B">
        <w:rPr>
          <w:rFonts w:cs="Times New Roman"/>
        </w:rPr>
        <w:t>, dok se u NU2 scenariju postiže smanjenje od 36,7</w:t>
      </w:r>
      <w:r w:rsidR="00060992" w:rsidRPr="00654E3B">
        <w:rPr>
          <w:rFonts w:cs="Times New Roman"/>
        </w:rPr>
        <w:t xml:space="preserve"> %</w:t>
      </w:r>
      <w:r w:rsidRPr="00654E3B">
        <w:rPr>
          <w:rFonts w:cs="Times New Roman"/>
        </w:rPr>
        <w:t>. Najveći doprinos navedenom smanjenju ima sektor industrije (43</w:t>
      </w:r>
      <w:r w:rsidR="00060992" w:rsidRPr="00654E3B">
        <w:rPr>
          <w:rFonts w:cs="Times New Roman"/>
        </w:rPr>
        <w:t xml:space="preserve"> %</w:t>
      </w:r>
      <w:r w:rsidRPr="00654E3B">
        <w:rPr>
          <w:rFonts w:cs="Times New Roman"/>
        </w:rPr>
        <w:t>), zatim sektor proizvodnje i prerade goriva (18</w:t>
      </w:r>
      <w:r w:rsidR="00060992" w:rsidRPr="00654E3B">
        <w:rPr>
          <w:rFonts w:cs="Times New Roman"/>
        </w:rPr>
        <w:t xml:space="preserve"> %</w:t>
      </w:r>
      <w:r w:rsidRPr="00654E3B">
        <w:rPr>
          <w:rFonts w:cs="Times New Roman"/>
        </w:rPr>
        <w:t>), sektor poljoprivrede (15</w:t>
      </w:r>
      <w:r w:rsidR="00060992" w:rsidRPr="00654E3B">
        <w:rPr>
          <w:rFonts w:cs="Times New Roman"/>
        </w:rPr>
        <w:t xml:space="preserve"> %</w:t>
      </w:r>
      <w:r w:rsidRPr="00654E3B">
        <w:rPr>
          <w:rFonts w:cs="Times New Roman"/>
        </w:rPr>
        <w:t>), sektor proizvodnje električne energije i topline (14</w:t>
      </w:r>
      <w:r w:rsidR="00060992" w:rsidRPr="00654E3B">
        <w:rPr>
          <w:rFonts w:cs="Times New Roman"/>
        </w:rPr>
        <w:t xml:space="preserve"> %</w:t>
      </w:r>
      <w:r w:rsidRPr="00654E3B">
        <w:rPr>
          <w:rFonts w:cs="Times New Roman"/>
        </w:rPr>
        <w:t>) te sektor opće potrošnje (10</w:t>
      </w:r>
      <w:r w:rsidR="00060992" w:rsidRPr="00654E3B">
        <w:rPr>
          <w:rFonts w:cs="Times New Roman"/>
        </w:rPr>
        <w:t xml:space="preserve"> %</w:t>
      </w:r>
      <w:r w:rsidRPr="00654E3B">
        <w:rPr>
          <w:rFonts w:cs="Times New Roman"/>
        </w:rPr>
        <w:t xml:space="preserve">). </w:t>
      </w:r>
      <w:r w:rsidR="008061C6" w:rsidRPr="00654E3B">
        <w:rPr>
          <w:rFonts w:cs="Times New Roman"/>
        </w:rPr>
        <w:t xml:space="preserve">U </w:t>
      </w:r>
      <w:r w:rsidR="00F549A1" w:rsidRPr="00654E3B">
        <w:rPr>
          <w:rFonts w:cs="Times New Roman"/>
        </w:rPr>
        <w:t>s</w:t>
      </w:r>
      <w:r w:rsidRPr="00654E3B">
        <w:rPr>
          <w:rFonts w:cs="Times New Roman"/>
        </w:rPr>
        <w:t>ektori</w:t>
      </w:r>
      <w:r w:rsidR="008061C6" w:rsidRPr="00654E3B">
        <w:rPr>
          <w:rFonts w:cs="Times New Roman"/>
        </w:rPr>
        <w:t>ma</w:t>
      </w:r>
      <w:r w:rsidRPr="00654E3B">
        <w:rPr>
          <w:rFonts w:cs="Times New Roman"/>
        </w:rPr>
        <w:t xml:space="preserve"> promet</w:t>
      </w:r>
      <w:r w:rsidR="008061C6" w:rsidRPr="00654E3B">
        <w:rPr>
          <w:rFonts w:cs="Times New Roman"/>
        </w:rPr>
        <w:t>a</w:t>
      </w:r>
      <w:r w:rsidRPr="00654E3B">
        <w:rPr>
          <w:rFonts w:cs="Times New Roman"/>
        </w:rPr>
        <w:t xml:space="preserve"> i otpad</w:t>
      </w:r>
      <w:r w:rsidR="00077CC3" w:rsidRPr="00654E3B">
        <w:rPr>
          <w:rFonts w:cs="Times New Roman"/>
        </w:rPr>
        <w:t xml:space="preserve">a, </w:t>
      </w:r>
      <w:r w:rsidR="00F549A1" w:rsidRPr="00654E3B">
        <w:rPr>
          <w:rFonts w:cs="Times New Roman"/>
        </w:rPr>
        <w:t xml:space="preserve">su emisije u 2030. godini još uvijek više u odnosu na 1990. godinu, obzirom da emisije iz tih sektora bilježe porast do 2018. godine. </w:t>
      </w:r>
    </w:p>
    <w:p w:rsidR="007D4A93" w:rsidRPr="00654E3B" w:rsidRDefault="00EF0BEB">
      <w:pPr>
        <w:rPr>
          <w:rFonts w:cs="Times New Roman"/>
        </w:rPr>
      </w:pPr>
      <w:r w:rsidRPr="00654E3B">
        <w:rPr>
          <w:rFonts w:cs="Times New Roman"/>
        </w:rPr>
        <w:lastRenderedPageBreak/>
        <w:t>U 2050. godini u NU1 scenariju postiže se ukupno smanjenje od 56,8</w:t>
      </w:r>
      <w:r w:rsidR="00060992" w:rsidRPr="00654E3B">
        <w:rPr>
          <w:rFonts w:cs="Times New Roman"/>
        </w:rPr>
        <w:t xml:space="preserve"> %</w:t>
      </w:r>
      <w:r w:rsidRPr="00654E3B">
        <w:rPr>
          <w:rFonts w:cs="Times New Roman"/>
        </w:rPr>
        <w:t xml:space="preserve"> dok se u NU2 scenariju postiže smanjenje od 73,1</w:t>
      </w:r>
      <w:r w:rsidR="00060992" w:rsidRPr="00654E3B">
        <w:rPr>
          <w:rFonts w:cs="Times New Roman"/>
        </w:rPr>
        <w:t xml:space="preserve"> %</w:t>
      </w:r>
      <w:r w:rsidRPr="00654E3B">
        <w:rPr>
          <w:rFonts w:cs="Times New Roman"/>
        </w:rPr>
        <w:t>, u odnosu na 1990. godinu. Najveći doprinos navedenom smanjenju ima sektor industrije (36</w:t>
      </w:r>
      <w:r w:rsidR="00060992" w:rsidRPr="00654E3B">
        <w:rPr>
          <w:rFonts w:cs="Times New Roman"/>
        </w:rPr>
        <w:t xml:space="preserve"> %</w:t>
      </w:r>
      <w:r w:rsidRPr="00654E3B">
        <w:rPr>
          <w:rFonts w:cs="Times New Roman"/>
        </w:rPr>
        <w:t>), zatim sektor proizvodnje električne energije i topline (15</w:t>
      </w:r>
      <w:r w:rsidR="00060992" w:rsidRPr="00654E3B">
        <w:rPr>
          <w:rFonts w:cs="Times New Roman"/>
        </w:rPr>
        <w:t xml:space="preserve"> %</w:t>
      </w:r>
      <w:r w:rsidRPr="00654E3B">
        <w:rPr>
          <w:rFonts w:cs="Times New Roman"/>
        </w:rPr>
        <w:t>), sektor proizvodnje i prerade goriva (14</w:t>
      </w:r>
      <w:r w:rsidR="00060992" w:rsidRPr="00654E3B">
        <w:rPr>
          <w:rFonts w:cs="Times New Roman"/>
        </w:rPr>
        <w:t xml:space="preserve"> %</w:t>
      </w:r>
      <w:r w:rsidRPr="00654E3B">
        <w:rPr>
          <w:rFonts w:cs="Times New Roman"/>
        </w:rPr>
        <w:t>), sektor opće potrošnje (13</w:t>
      </w:r>
      <w:r w:rsidR="00060992" w:rsidRPr="00654E3B">
        <w:rPr>
          <w:rFonts w:cs="Times New Roman"/>
        </w:rPr>
        <w:t xml:space="preserve"> %</w:t>
      </w:r>
      <w:r w:rsidRPr="00654E3B">
        <w:rPr>
          <w:rFonts w:cs="Times New Roman"/>
        </w:rPr>
        <w:t>), sektor poljoprivrede (11</w:t>
      </w:r>
      <w:r w:rsidR="00060992" w:rsidRPr="00654E3B">
        <w:rPr>
          <w:rFonts w:cs="Times New Roman"/>
        </w:rPr>
        <w:t xml:space="preserve"> %</w:t>
      </w:r>
      <w:r w:rsidRPr="00654E3B">
        <w:rPr>
          <w:rFonts w:cs="Times New Roman"/>
        </w:rPr>
        <w:t>), sektor prometa (9</w:t>
      </w:r>
      <w:r w:rsidR="00060992" w:rsidRPr="00654E3B">
        <w:rPr>
          <w:rFonts w:cs="Times New Roman"/>
        </w:rPr>
        <w:t xml:space="preserve"> %</w:t>
      </w:r>
      <w:r w:rsidRPr="00654E3B">
        <w:rPr>
          <w:rFonts w:cs="Times New Roman"/>
        </w:rPr>
        <w:t>) te sektor otpada (1,3</w:t>
      </w:r>
      <w:r w:rsidR="00060992" w:rsidRPr="00654E3B">
        <w:rPr>
          <w:rFonts w:cs="Times New Roman"/>
        </w:rPr>
        <w:t xml:space="preserve"> %</w:t>
      </w:r>
      <w:r w:rsidRPr="00654E3B">
        <w:rPr>
          <w:rFonts w:cs="Times New Roman"/>
        </w:rPr>
        <w:t>).</w:t>
      </w:r>
    </w:p>
    <w:p w:rsidR="007D4A93" w:rsidRPr="00654E3B" w:rsidRDefault="00EF0BEB">
      <w:pPr>
        <w:rPr>
          <w:rFonts w:cs="Times New Roman"/>
          <w:b/>
          <w:i/>
          <w:u w:val="single"/>
        </w:rPr>
      </w:pPr>
      <w:r w:rsidRPr="00654E3B">
        <w:rPr>
          <w:rFonts w:cs="Times New Roman"/>
          <w:b/>
          <w:i/>
          <w:u w:val="single"/>
        </w:rPr>
        <w:t>Financiranje</w:t>
      </w:r>
    </w:p>
    <w:p w:rsidR="007D4A93" w:rsidRPr="00654E3B" w:rsidRDefault="00EF0BEB">
      <w:pPr>
        <w:rPr>
          <w:rFonts w:cs="Times New Roman"/>
        </w:rPr>
      </w:pPr>
      <w:r w:rsidRPr="00654E3B">
        <w:rPr>
          <w:rFonts w:cs="Times New Roman"/>
        </w:rPr>
        <w:t>Dugoročno, ulaganja u niskougljični projekte trebaju biti ekonomski održiva. Javni izvori financiranja neće biti dostatni te je potrebno naći instrumente za mobilizaciju privatnih sredstva za ulaganje u poslove koji doprinose Niskougljičnoj strategiji i gospodarskom rastu.</w:t>
      </w:r>
    </w:p>
    <w:p w:rsidR="007D4A93" w:rsidRPr="00654E3B" w:rsidRDefault="00EF0BEB">
      <w:pPr>
        <w:rPr>
          <w:rFonts w:cs="Times New Roman"/>
          <w:bCs/>
        </w:rPr>
      </w:pPr>
      <w:r w:rsidRPr="00654E3B">
        <w:rPr>
          <w:rFonts w:cs="Times New Roman"/>
          <w:b/>
        </w:rPr>
        <w:t>Procjenjuje se da će za tranziciju prema niskougljičnom razvoju biti potrebno od 38,65 do 65,92 mlrd. kuna u razdoblju od 2021. do 2030. godine, odnosno od 0,92 do 1,6</w:t>
      </w:r>
      <w:r w:rsidR="00060992" w:rsidRPr="00654E3B">
        <w:rPr>
          <w:rFonts w:cs="Times New Roman"/>
          <w:b/>
        </w:rPr>
        <w:t xml:space="preserve"> %</w:t>
      </w:r>
      <w:r w:rsidRPr="00654E3B">
        <w:rPr>
          <w:rFonts w:cs="Times New Roman"/>
          <w:b/>
        </w:rPr>
        <w:t xml:space="preserve"> BDP-a. U razdoblju od 2031. do 2050. godine trošak će biti od 107,09 do 167,95 mlrd. kuna (od 0,96 do 1,51</w:t>
      </w:r>
      <w:r w:rsidR="00060992" w:rsidRPr="00654E3B">
        <w:rPr>
          <w:rFonts w:cs="Times New Roman"/>
          <w:b/>
        </w:rPr>
        <w:t xml:space="preserve"> %</w:t>
      </w:r>
      <w:r w:rsidRPr="00654E3B">
        <w:rPr>
          <w:rFonts w:cs="Times New Roman"/>
          <w:b/>
        </w:rPr>
        <w:t xml:space="preserve"> BDP-a).</w:t>
      </w:r>
      <w:r w:rsidRPr="00654E3B">
        <w:rPr>
          <w:rFonts w:cs="Times New Roman"/>
        </w:rPr>
        <w:t xml:space="preserve"> </w:t>
      </w:r>
      <w:r w:rsidRPr="00654E3B">
        <w:rPr>
          <w:rFonts w:cs="Times New Roman"/>
          <w:bCs/>
        </w:rPr>
        <w:t>Navedeni iznosi ulaganja predstavljaju razliku ulaganja između tranzicijskih scenarija (NU1 i NU2) i referentnog scenarija (NUR).</w:t>
      </w:r>
    </w:p>
    <w:p w:rsidR="007D4A93" w:rsidRPr="00654E3B" w:rsidRDefault="00EF0BEB">
      <w:pPr>
        <w:rPr>
          <w:rFonts w:cs="Times New Roman"/>
        </w:rPr>
      </w:pPr>
      <w:r w:rsidRPr="00654E3B">
        <w:rPr>
          <w:rFonts w:cs="Times New Roman"/>
        </w:rPr>
        <w:t xml:space="preserve">Okvir za financiranje mjera u priličnoj mjeri već postoji, u smislu mogućih izvora financiranja. Republici Hrvatskoj će na raspolaganju za projekte koji će imati pozitivan utjecaj na klimu biti sredstva u ukupnom iznosu od oko 62,4 mlrd. kuna od čega 36 mlrd. kuna iz Višegodišnjeg financijskog okvira (VFO) do 2027. godine, 16,65 mlrd. kuna iz Fonda za oporavak i otpornost 2,7 mlrd. kuna iz Modernizacijskog fonda, oko 5,7 mlrd. kuna prihoda od dražbi emisijskih jedinica u okviru sustava trgovanja emisijama stakleničkih plinova. Također, Republici Hrvatskoj će na raspolaganju biti i oko 1,3 mlrd. kuna iz Fonda za pravednu tranziciju. Ta sredstva potrebno je usmjeriti i na mjere smanjenja  rizika i prilagodbe klimatskim promjenama kako bi se povećala otpornost Republike Hrvatske, smanjila ranjivost te smanjio trošak šteta uzrokovan klimatskim promjenama. Uz to, siguran izvor bit će i sredstva iz </w:t>
      </w:r>
      <w:r w:rsidR="00BC081B" w:rsidRPr="00654E3B">
        <w:rPr>
          <w:rFonts w:cs="Times New Roman"/>
        </w:rPr>
        <w:t>I</w:t>
      </w:r>
      <w:r w:rsidRPr="00654E3B">
        <w:rPr>
          <w:rFonts w:cs="Times New Roman"/>
        </w:rPr>
        <w:t>novacij</w:t>
      </w:r>
      <w:r w:rsidR="00BC081B" w:rsidRPr="00654E3B">
        <w:rPr>
          <w:rFonts w:cs="Times New Roman"/>
        </w:rPr>
        <w:t>skog fonda</w:t>
      </w:r>
      <w:r w:rsidRPr="00654E3B">
        <w:rPr>
          <w:rFonts w:cs="Times New Roman"/>
        </w:rPr>
        <w:t>, Fonda za povezivanje Europe, Europskog fonda za strateška ulaganja, i dr. Ostali izvori financiranja kao što su Obzor 2020 i Obzor Europa te LIFE program su natjecateljske prirode.</w:t>
      </w:r>
    </w:p>
    <w:p w:rsidR="007D4A93" w:rsidRPr="00654E3B" w:rsidRDefault="00EF0BEB">
      <w:pPr>
        <w:rPr>
          <w:rFonts w:cs="Times New Roman"/>
        </w:rPr>
      </w:pPr>
      <w:r w:rsidRPr="00654E3B">
        <w:rPr>
          <w:rFonts w:cs="Times New Roman"/>
        </w:rPr>
        <w:t>Republika Hrvatska imati će na raspolaganju značajna financijska sredstva, ali potrebe za ulaganjem znatno nadilaze raspoloživa sredstva. Stoga će biti nužna međuresorna koordinacija te korištenje inovativnih financijskih instrumenata (ESCO model</w:t>
      </w:r>
      <w:r w:rsidR="00DC516B" w:rsidRPr="00654E3B">
        <w:rPr>
          <w:rFonts w:cs="Times New Roman"/>
        </w:rPr>
        <w:t>,</w:t>
      </w:r>
      <w:r w:rsidRPr="00654E3B">
        <w:rPr>
          <w:rFonts w:cs="Times New Roman"/>
        </w:rPr>
        <w:t xml:space="preserve"> itd.) kako bi se s ograničenim financijskim sredstvima, koja su nam na raspolaganju postigao što veći, multiplikativni učinak u pogledu smanjenja emisija, obzirom da će svi sektori morati pridonijeti smanjivanju emisija kako bi Republika Hrvatska ispunila svoj udio smanjenja u EU cilju od -55</w:t>
      </w:r>
      <w:r w:rsidR="00060992" w:rsidRPr="00654E3B">
        <w:rPr>
          <w:rFonts w:cs="Times New Roman"/>
        </w:rPr>
        <w:t xml:space="preserve"> %</w:t>
      </w:r>
      <w:r w:rsidRPr="00654E3B">
        <w:rPr>
          <w:rFonts w:cs="Times New Roman"/>
        </w:rPr>
        <w:t xml:space="preserve"> do 2030. godine.</w:t>
      </w:r>
    </w:p>
    <w:p w:rsidR="007D4A93" w:rsidRPr="00654E3B" w:rsidRDefault="00EF0BEB">
      <w:pPr>
        <w:rPr>
          <w:rFonts w:cs="Times New Roman"/>
        </w:rPr>
      </w:pPr>
      <w:r w:rsidRPr="00654E3B">
        <w:rPr>
          <w:rFonts w:cs="Times New Roman"/>
        </w:rPr>
        <w:t xml:space="preserve">Novu perspektivu financiranja otvara Europski zeleni </w:t>
      </w:r>
      <w:r w:rsidR="0076137C" w:rsidRPr="00654E3B">
        <w:rPr>
          <w:rFonts w:cs="Times New Roman"/>
        </w:rPr>
        <w:t xml:space="preserve">plan i </w:t>
      </w:r>
      <w:r w:rsidRPr="00654E3B">
        <w:rPr>
          <w:rFonts w:cs="Times New Roman"/>
        </w:rPr>
        <w:t>dodatn</w:t>
      </w:r>
      <w:r w:rsidR="0076137C" w:rsidRPr="00654E3B">
        <w:rPr>
          <w:rFonts w:cs="Times New Roman"/>
        </w:rPr>
        <w:t>a</w:t>
      </w:r>
      <w:r w:rsidRPr="00654E3B">
        <w:rPr>
          <w:rFonts w:cs="Times New Roman"/>
        </w:rPr>
        <w:t xml:space="preserve"> sredstva za klimatske aktivnosti</w:t>
      </w:r>
      <w:r w:rsidR="0076137C" w:rsidRPr="00654E3B">
        <w:rPr>
          <w:rFonts w:cs="Times New Roman"/>
        </w:rPr>
        <w:t>, uključujući</w:t>
      </w:r>
      <w:r w:rsidRPr="00654E3B">
        <w:rPr>
          <w:rFonts w:cs="Times New Roman"/>
        </w:rPr>
        <w:t xml:space="preserve"> </w:t>
      </w:r>
      <w:r w:rsidR="0076137C" w:rsidRPr="00654E3B">
        <w:rPr>
          <w:rFonts w:cs="Times New Roman"/>
        </w:rPr>
        <w:t xml:space="preserve">nove instrumente </w:t>
      </w:r>
      <w:r w:rsidRPr="00654E3B">
        <w:rPr>
          <w:rFonts w:cs="Times New Roman"/>
        </w:rPr>
        <w:t xml:space="preserve">financiranja na nacionalnim razinama.  </w:t>
      </w:r>
    </w:p>
    <w:p w:rsidR="007D4A93" w:rsidRPr="00654E3B" w:rsidRDefault="00EF0BEB">
      <w:pPr>
        <w:rPr>
          <w:rFonts w:cs="Times New Roman"/>
        </w:rPr>
      </w:pPr>
      <w:r w:rsidRPr="00654E3B">
        <w:rPr>
          <w:rFonts w:cs="Times New Roman"/>
        </w:rPr>
        <w:t>Sredstvima predviđenim za solidarnu pomoć EU-a za op</w:t>
      </w:r>
      <w:r w:rsidR="00DC516B" w:rsidRPr="00654E3B">
        <w:rPr>
          <w:rFonts w:cs="Times New Roman"/>
        </w:rPr>
        <w:t>o</w:t>
      </w:r>
      <w:r w:rsidRPr="00654E3B">
        <w:rPr>
          <w:rFonts w:cs="Times New Roman"/>
        </w:rPr>
        <w:t>ravak gospodarstva i očuvanje radnih mjesta zbog utjecaja COVID-19 krize, prioritetno će se poticati zeleno gospodarstvo i digitalizacija. S gledišta emisija stakleničkih plinova, prepoznate su potrebne prioritetne intervencije u prometu, energetski intenzivnoj industriji, zgradarstvu i obnovljivim izvorima energije.</w:t>
      </w:r>
    </w:p>
    <w:p w:rsidR="007D4A93" w:rsidRPr="00654E3B" w:rsidRDefault="00EF0BEB">
      <w:pPr>
        <w:rPr>
          <w:rFonts w:cs="Times New Roman"/>
          <w:b/>
          <w:i/>
          <w:u w:val="single"/>
        </w:rPr>
      </w:pPr>
      <w:r w:rsidRPr="00654E3B">
        <w:rPr>
          <w:rFonts w:cs="Times New Roman"/>
          <w:b/>
          <w:i/>
          <w:u w:val="single"/>
        </w:rPr>
        <w:t xml:space="preserve">Utjecaj scenarija na okoliš i prirodu </w:t>
      </w:r>
    </w:p>
    <w:p w:rsidR="007D4A93" w:rsidRPr="00654E3B" w:rsidRDefault="00EF0BEB">
      <w:pPr>
        <w:rPr>
          <w:rFonts w:cs="Times New Roman"/>
        </w:rPr>
      </w:pPr>
      <w:r w:rsidRPr="00654E3B">
        <w:rPr>
          <w:rFonts w:cs="Times New Roman"/>
        </w:rPr>
        <w:t>Iako provedba Niskougljične strategije ima pozitivan učinak na smanjenje emisija stakleničkih plinova, neki aspekti niskougljičnog razvoja predstavljaju potencijalnu prijetnju za pojedine sastavnice okoliša i prirodu. Za Niskougljičnu strategiju proveo se postupak strateške procjene utjecaja na okoliš, koji je obuhvatio i glavnu ocjenu prihvatljivosti za ekološku mrežu. Mjere zaštite okoliša i mjere ublažavanja utjecaja na ciljeve očuvanja i cjelovitost područja ekološke mreže sastavni su dio Niskougljične strategije.</w:t>
      </w:r>
    </w:p>
    <w:p w:rsidR="007D4A93" w:rsidRPr="00654E3B" w:rsidRDefault="00EF0BEB">
      <w:pPr>
        <w:rPr>
          <w:rFonts w:cs="Times New Roman"/>
          <w:b/>
          <w:i/>
          <w:u w:val="single"/>
        </w:rPr>
      </w:pPr>
      <w:r w:rsidRPr="00654E3B">
        <w:rPr>
          <w:rFonts w:cs="Times New Roman"/>
          <w:b/>
          <w:i/>
          <w:u w:val="single"/>
        </w:rPr>
        <w:t>Socio-gospodarski utjecaji</w:t>
      </w:r>
    </w:p>
    <w:p w:rsidR="007D4A93" w:rsidRPr="00654E3B" w:rsidRDefault="00EF0BEB">
      <w:pPr>
        <w:rPr>
          <w:rFonts w:cs="Times New Roman"/>
        </w:rPr>
      </w:pPr>
      <w:r w:rsidRPr="00654E3B">
        <w:rPr>
          <w:rFonts w:cs="Times New Roman"/>
        </w:rPr>
        <w:t>Ukupne očekivane koristi za društvo (uzimajući u obzir eksterne troškove)</w:t>
      </w:r>
      <w:r w:rsidR="00DC516B" w:rsidRPr="00654E3B">
        <w:rPr>
          <w:rFonts w:cs="Times New Roman"/>
        </w:rPr>
        <w:t>,</w:t>
      </w:r>
      <w:r w:rsidRPr="00654E3B">
        <w:rPr>
          <w:rFonts w:cs="Times New Roman"/>
        </w:rPr>
        <w:t xml:space="preserve"> su pozitivne i rezultiraju ukupno manjim društvenim troškom. Osnovni izazov provedbe i dinamike promjena</w:t>
      </w:r>
      <w:r w:rsidR="00DC516B" w:rsidRPr="00654E3B">
        <w:rPr>
          <w:rFonts w:cs="Times New Roman"/>
        </w:rPr>
        <w:t>,</w:t>
      </w:r>
      <w:r w:rsidRPr="00654E3B">
        <w:rPr>
          <w:rFonts w:cs="Times New Roman"/>
        </w:rPr>
        <w:t xml:space="preserve"> je potreba visokih ulaganja koja mogu predstavljati značajan izazov za pojedine segmente gospodarstva i/ili kupaca. Ograničavajući čimbenik ubrzane tranzicije može biti sposobnost gospodarstva, društva i pojedinaca da </w:t>
      </w:r>
      <w:r w:rsidRPr="00654E3B">
        <w:rPr>
          <w:rFonts w:cs="Times New Roman"/>
        </w:rPr>
        <w:lastRenderedPageBreak/>
        <w:t>pravovremeno sudjeluju u procesima zbog velikih početnih ulaganja, bez obzira što procesi tranzicije donose dugoročnu korist društvu i okolišu.</w:t>
      </w:r>
    </w:p>
    <w:p w:rsidR="007D4A93" w:rsidRPr="00654E3B" w:rsidRDefault="00EF0BEB">
      <w:pPr>
        <w:rPr>
          <w:rFonts w:cs="Times New Roman"/>
          <w:b/>
        </w:rPr>
      </w:pPr>
      <w:r w:rsidRPr="00654E3B">
        <w:rPr>
          <w:rFonts w:cs="Times New Roman"/>
          <w:b/>
        </w:rPr>
        <w:t xml:space="preserve">Niskougljičnim razvojem mogu se ostvariti neto koristi za društvo, ali su za provedbu mjera potrebna dodatna </w:t>
      </w:r>
      <w:r w:rsidR="001D3DDF" w:rsidRPr="00654E3B">
        <w:rPr>
          <w:rFonts w:cs="Times New Roman"/>
          <w:b/>
        </w:rPr>
        <w:t xml:space="preserve">EU </w:t>
      </w:r>
      <w:r w:rsidRPr="00654E3B">
        <w:rPr>
          <w:rFonts w:cs="Times New Roman"/>
          <w:b/>
        </w:rPr>
        <w:t>sredstva</w:t>
      </w:r>
      <w:r w:rsidR="001D3DDF" w:rsidRPr="00654E3B">
        <w:rPr>
          <w:rFonts w:cs="Times New Roman"/>
          <w:b/>
        </w:rPr>
        <w:t>.</w:t>
      </w:r>
      <w:r w:rsidRPr="00654E3B">
        <w:rPr>
          <w:rFonts w:cs="Times New Roman"/>
          <w:b/>
        </w:rPr>
        <w:t xml:space="preserve"> </w:t>
      </w:r>
    </w:p>
    <w:p w:rsidR="007D4A93" w:rsidRPr="00654E3B" w:rsidRDefault="00EF0BEB">
      <w:pPr>
        <w:rPr>
          <w:rFonts w:cs="Times New Roman"/>
          <w:b/>
          <w:i/>
          <w:u w:val="single"/>
        </w:rPr>
      </w:pPr>
      <w:bookmarkStart w:id="117" w:name="_Toc477868530"/>
      <w:r w:rsidRPr="00654E3B">
        <w:rPr>
          <w:rFonts w:cs="Times New Roman"/>
          <w:b/>
          <w:i/>
          <w:u w:val="single"/>
        </w:rPr>
        <w:t>Obrazovanje i aktivno uključivanje građana u niskougljični razvoj</w:t>
      </w:r>
      <w:bookmarkEnd w:id="117"/>
    </w:p>
    <w:p w:rsidR="007D4A93" w:rsidRPr="00654E3B" w:rsidRDefault="00EF0BEB">
      <w:pPr>
        <w:rPr>
          <w:rFonts w:cs="Times New Roman"/>
        </w:rPr>
      </w:pPr>
      <w:r w:rsidRPr="00654E3B">
        <w:rPr>
          <w:rFonts w:cs="Times New Roman"/>
        </w:rPr>
        <w:t xml:space="preserve">Obrazovni sustav treba postati predvodnik u promicanju načela niskougljičnog razvoja, mladi ljudi koji ulaze u sustav obrazovanja danas bit će nositelji promjena u budućnosti te se bez njihovog znanja i uvjerenja ciljevi Niskougljične strategije neće provesti. Stoga je ovo prioritetna aktivnost Niskougljične strategije, dugoročno važnija od bilo koje mjere tehničkog tipa. </w:t>
      </w:r>
    </w:p>
    <w:p w:rsidR="007D4A93" w:rsidRPr="00654E3B" w:rsidRDefault="00EF0BEB">
      <w:pPr>
        <w:rPr>
          <w:rFonts w:cs="Times New Roman"/>
        </w:rPr>
      </w:pPr>
      <w:r w:rsidRPr="00654E3B">
        <w:rPr>
          <w:rFonts w:cs="Times New Roman"/>
        </w:rPr>
        <w:t xml:space="preserve">U razdoblju od 2021. do 2030. godine obrazovanje o održivom razvoju i klimatskim promjenama u Hrvatskoj će se razvijati, dopunjavati i modernizirati u hodu, te stvarati generacije građana </w:t>
      </w:r>
      <w:r w:rsidR="00DC516B" w:rsidRPr="00654E3B">
        <w:rPr>
          <w:rFonts w:cs="Times New Roman"/>
        </w:rPr>
        <w:t xml:space="preserve">Republike </w:t>
      </w:r>
      <w:r w:rsidRPr="00654E3B">
        <w:rPr>
          <w:rFonts w:cs="Times New Roman"/>
        </w:rPr>
        <w:t xml:space="preserve">Hrvatske koji će biti cjelovito i sustavno „klimatski </w:t>
      </w:r>
      <w:r w:rsidR="00CA662D" w:rsidRPr="00654E3B">
        <w:rPr>
          <w:rFonts w:cs="Times New Roman"/>
        </w:rPr>
        <w:t>osviješteni</w:t>
      </w:r>
      <w:r w:rsidRPr="00654E3B">
        <w:rPr>
          <w:rFonts w:cs="Times New Roman"/>
        </w:rPr>
        <w:t>“.</w:t>
      </w:r>
    </w:p>
    <w:p w:rsidR="007D4A93" w:rsidRPr="00654E3B" w:rsidRDefault="00EF0BEB">
      <w:pPr>
        <w:rPr>
          <w:rFonts w:cs="Times New Roman"/>
        </w:rPr>
      </w:pPr>
      <w:r w:rsidRPr="00654E3B">
        <w:rPr>
          <w:rFonts w:cs="Times New Roman"/>
        </w:rPr>
        <w:t>Također, u razdoblju do 2030. godine previđa se ubrzanija promjena načina poimanja i obrazaca ponašanja u smjeru Republike Hrvatske kao niskougljičnog društva. S jedne strane, sustavno će rasti osviještenost za klimatska pitanja, s druge strane će se trebati obrazovati za nove vještine koje će moći odgovoriti izazovima tranzicije prema niskougljičnom razvoju, a s treće niskougljična praktična rješenja će se trebati ugraditi u organizaciju društvenog života, proizvodnje, potrošnje i upravljanja razvojem u smjeru porasta održivosti.</w:t>
      </w:r>
    </w:p>
    <w:p w:rsidR="007D4A93" w:rsidRPr="00654E3B" w:rsidRDefault="00EF0BEB">
      <w:pPr>
        <w:rPr>
          <w:rFonts w:cs="Times New Roman"/>
          <w:b/>
          <w:i/>
          <w:u w:val="single"/>
        </w:rPr>
      </w:pPr>
      <w:r w:rsidRPr="00654E3B">
        <w:rPr>
          <w:rFonts w:cs="Times New Roman"/>
          <w:b/>
          <w:i/>
          <w:u w:val="single"/>
        </w:rPr>
        <w:t xml:space="preserve">Istraživanje, razvoj i inovacije </w:t>
      </w:r>
    </w:p>
    <w:p w:rsidR="007D4A93" w:rsidRPr="00654E3B" w:rsidRDefault="00EF0BEB">
      <w:pPr>
        <w:rPr>
          <w:rFonts w:cs="Times New Roman"/>
        </w:rPr>
      </w:pPr>
      <w:r w:rsidRPr="00654E3B">
        <w:rPr>
          <w:rFonts w:cs="Times New Roman"/>
        </w:rPr>
        <w:t xml:space="preserve">Dosadašnja ulaganja u istraživanje, razvoj i inovacije po pitanju klimatskih promjena bila su potpuno zanemariva i nedostatno raspoznata u postojećim strateškim dokumentima. Istraživanje i razvoj su među najvećim potencijalnim faktorima doprinosa rastu BDP-a, odmah nakon povećanja zaposlenosti, stoga je u Hrvatskoj potrebno povećanje izdataka za istraživanje i razvoj, bliže prosječnoj razini EU-a. Pristup sredstvima treba omogućiti i privatnom sektoru, za primijenjena znanstvena i razvojna istraživanja, pilot i demonstracijske projekte. U planiranju programa financiranja i u praćenju realizacije treba biti snažno uključeno ministarstvo nadležno za politike klime, međukoordinacijska tijela i predstavnici izvan javnog sektora.  </w:t>
      </w:r>
    </w:p>
    <w:p w:rsidR="007D4A93" w:rsidRPr="00654E3B" w:rsidRDefault="00EF0BEB">
      <w:pPr>
        <w:rPr>
          <w:rFonts w:cs="Times New Roman"/>
          <w:b/>
          <w:i/>
          <w:u w:val="single"/>
        </w:rPr>
      </w:pPr>
      <w:r w:rsidRPr="00654E3B">
        <w:rPr>
          <w:rFonts w:cs="Times New Roman"/>
        </w:rPr>
        <w:t>Elemente niskougljičnog razvoja potrebno je integrirati u programe poticanja inovacija, istraživanja i razvoja visokih tehnologija u privatnom i javnom sektoru.</w:t>
      </w:r>
    </w:p>
    <w:p w:rsidR="007D4A93" w:rsidRPr="00654E3B" w:rsidRDefault="00EF0BEB">
      <w:pPr>
        <w:rPr>
          <w:rFonts w:cs="Times New Roman"/>
          <w:b/>
          <w:i/>
          <w:u w:val="single"/>
        </w:rPr>
      </w:pPr>
      <w:bookmarkStart w:id="118" w:name="_Toc477868529"/>
      <w:r w:rsidRPr="00654E3B">
        <w:rPr>
          <w:rFonts w:cs="Times New Roman"/>
          <w:b/>
          <w:i/>
          <w:u w:val="single"/>
        </w:rPr>
        <w:t>Niskougljični razvoj na lokalnoj razini</w:t>
      </w:r>
      <w:bookmarkEnd w:id="118"/>
    </w:p>
    <w:p w:rsidR="007D4A93" w:rsidRPr="00654E3B" w:rsidRDefault="00EF0BEB">
      <w:pPr>
        <w:rPr>
          <w:rFonts w:cs="Times New Roman"/>
        </w:rPr>
      </w:pPr>
      <w:r w:rsidRPr="00654E3B">
        <w:rPr>
          <w:rFonts w:cs="Times New Roman"/>
        </w:rPr>
        <w:t xml:space="preserve">Provedbom Niskougljične strategije treba uspostaviti bolju povezanost i sinergijske učinke politika na državnoj razini i lokalnim razinama. Djelovanje se sve više pomiče na samostalne aktivnosti </w:t>
      </w:r>
      <w:r w:rsidR="005941DA" w:rsidRPr="00654E3B">
        <w:rPr>
          <w:rFonts w:cs="Times New Roman"/>
        </w:rPr>
        <w:t xml:space="preserve">jedinica </w:t>
      </w:r>
      <w:r w:rsidRPr="00654E3B">
        <w:rPr>
          <w:rFonts w:cs="Times New Roman"/>
        </w:rPr>
        <w:t xml:space="preserve">lokalnih </w:t>
      </w:r>
      <w:r w:rsidR="005941DA" w:rsidRPr="00654E3B">
        <w:rPr>
          <w:rFonts w:cs="Times New Roman"/>
        </w:rPr>
        <w:t>samo</w:t>
      </w:r>
      <w:r w:rsidRPr="00654E3B">
        <w:rPr>
          <w:rFonts w:cs="Times New Roman"/>
        </w:rPr>
        <w:t xml:space="preserve">uprava i gradova. Ambicioznije inicijative kao što su ugljično neutralni otoci, gradovi i slično treba podržati. U tome je osobito važno povezivanje aktivnosti koje se provode u okviru međunarodne inicijative „Povelja gradonačelnika“, koncepta „pametnih gradova“ i </w:t>
      </w:r>
      <w:r w:rsidR="0010094F" w:rsidRPr="00654E3B">
        <w:rPr>
          <w:rFonts w:cs="Times New Roman"/>
        </w:rPr>
        <w:t xml:space="preserve">„pametnih otoka“ te </w:t>
      </w:r>
      <w:r w:rsidRPr="00654E3B">
        <w:rPr>
          <w:rFonts w:cs="Times New Roman"/>
        </w:rPr>
        <w:t xml:space="preserve">inovativnih platformi. Na lokalnoj razini dolazi do povezivanja mjera ublažavanja i prilagodbe klimatskim promjenama te je sinergija korištenja resursa najsnažnija. </w:t>
      </w:r>
    </w:p>
    <w:p w:rsidR="007D4A93" w:rsidRPr="00654E3B" w:rsidRDefault="00EF0BEB">
      <w:pPr>
        <w:rPr>
          <w:rFonts w:cs="Times New Roman"/>
        </w:rPr>
      </w:pPr>
      <w:r w:rsidRPr="00654E3B">
        <w:rPr>
          <w:rFonts w:cs="Times New Roman"/>
        </w:rPr>
        <w:t xml:space="preserve">Niskougljična strategija ukazuje da je potrebno provesti niz mjera pri planiranju i izgradnji integralnih sustava u gradovima. To uključuje javni i ostali promet, zgradarstvo, komunalne sustave, autonomne sustave, obrazovne sustave, informacijsko komunikacijske tehnologije (ICT), urbanizam, inovativna rješenja u raznim područjima i podizanje javne svijesti. </w:t>
      </w:r>
    </w:p>
    <w:p w:rsidR="007D4A93" w:rsidRPr="00654E3B" w:rsidRDefault="00EF0BEB">
      <w:pPr>
        <w:rPr>
          <w:rFonts w:cs="Times New Roman"/>
          <w:b/>
          <w:i/>
          <w:u w:val="single"/>
        </w:rPr>
      </w:pPr>
      <w:r w:rsidRPr="00654E3B">
        <w:rPr>
          <w:rFonts w:cs="Times New Roman"/>
          <w:b/>
          <w:i/>
          <w:u w:val="single"/>
        </w:rPr>
        <w:t xml:space="preserve">Niskougljično gospodarstvo i obrasci poslovanja </w:t>
      </w:r>
    </w:p>
    <w:p w:rsidR="007D4A93" w:rsidRPr="00654E3B" w:rsidRDefault="00EF0BEB">
      <w:pPr>
        <w:rPr>
          <w:rFonts w:cs="Times New Roman"/>
        </w:rPr>
      </w:pPr>
      <w:r w:rsidRPr="00654E3B">
        <w:rPr>
          <w:rFonts w:cs="Times New Roman"/>
        </w:rPr>
        <w:t>Vezano za obrasce poslovanja najznačajniji je preobražaj poslovanja po načelima kružnog gospodarstva. Potrebno je provoditi politiku održive potrošnje i proizvodnje, potaknuti održive obrasce ponašanja i poslovanja u svim gospodarskim sektorima. Treba provoditi koncept „životni ciklus proizvoda i usluga“ (LCA)</w:t>
      </w:r>
      <w:r w:rsidR="00DC516B" w:rsidRPr="00654E3B">
        <w:rPr>
          <w:rFonts w:cs="Times New Roman"/>
        </w:rPr>
        <w:t>,</w:t>
      </w:r>
      <w:r w:rsidRPr="00654E3B">
        <w:rPr>
          <w:rFonts w:cs="Times New Roman"/>
        </w:rPr>
        <w:t xml:space="preserve"> koji prati okolišni otisak proizvoda i usluga, a utemeljen je na znanstvenim pokazateljima. Cilj </w:t>
      </w:r>
      <w:r w:rsidRPr="00654E3B">
        <w:rPr>
          <w:rFonts w:cs="Times New Roman"/>
        </w:rPr>
        <w:lastRenderedPageBreak/>
        <w:t>je smanjiti potrošnju prirodnih dobara, smanjiti nastanak opasnih i toksičnih tvari, smanjiti emisije u zrak, vodu i tlo te smanjiti ili spriječiti nastajanje otpada na mjestu nastanka.</w:t>
      </w:r>
    </w:p>
    <w:p w:rsidR="007D4A93" w:rsidRPr="00654E3B" w:rsidRDefault="00EF0BEB">
      <w:pPr>
        <w:rPr>
          <w:rFonts w:cs="Times New Roman"/>
        </w:rPr>
      </w:pPr>
      <w:r w:rsidRPr="00654E3B">
        <w:rPr>
          <w:rFonts w:cs="Times New Roman"/>
        </w:rPr>
        <w:t>Primjena načela niskougljičnog razvoja u poslovnim organizacijama je uglavnom dobrovoljna, što znači da vodstva organizacija primjenjuju ova načela očekujući da će dugoročno ostvariti određenu korist. Zbog toga uspjeh ovisi o dva elementa: prvenstveno o jačanju svijesti i edukaciji osoba odgovornih za upravljanje organizacijama i donošenje ključnih poslovnih odluka (visokog menadžmenta) te o stvaranju poticajnog poslovnog okruženja u kojem će organizacije prepoznati korist od primjene načela niskougljičnog razvoja, s time da ta korist nije nužno materijalna ili se barem tek dugoročno može materijalizirati.</w:t>
      </w:r>
    </w:p>
    <w:p w:rsidR="007D4A93" w:rsidRPr="00654E3B" w:rsidRDefault="00EF0BEB">
      <w:pPr>
        <w:rPr>
          <w:rFonts w:cs="Times New Roman"/>
        </w:rPr>
      </w:pPr>
      <w:r w:rsidRPr="00654E3B">
        <w:rPr>
          <w:rFonts w:cs="Times New Roman"/>
        </w:rPr>
        <w:t>Vezano za konkretne mjere, radi se o poticanju uspostave sustava kvalitete, sustava upravljanja okolišem, određivanju ugljičnog otiska, ekološkom licenciranju, zelenoj javnoj nabavi, itd. Navedeno podrazumijeva i izgradnju adekvatne informatičke infrastrukture, baza podataka</w:t>
      </w:r>
      <w:r w:rsidR="00DC516B" w:rsidRPr="00654E3B">
        <w:rPr>
          <w:rFonts w:cs="Times New Roman"/>
        </w:rPr>
        <w:t xml:space="preserve"> i </w:t>
      </w:r>
      <w:r w:rsidRPr="00654E3B">
        <w:rPr>
          <w:rFonts w:cs="Times New Roman"/>
        </w:rPr>
        <w:t xml:space="preserve">modela proračuna. </w:t>
      </w:r>
    </w:p>
    <w:p w:rsidR="007D4A93" w:rsidRPr="00654E3B" w:rsidRDefault="00EF0BEB">
      <w:pPr>
        <w:rPr>
          <w:rFonts w:cs="Times New Roman"/>
          <w:b/>
          <w:i/>
          <w:u w:val="single"/>
        </w:rPr>
      </w:pPr>
      <w:r w:rsidRPr="00654E3B">
        <w:rPr>
          <w:rFonts w:cs="Times New Roman"/>
          <w:b/>
          <w:i/>
          <w:u w:val="single"/>
        </w:rPr>
        <w:t xml:space="preserve">Međunarodna suradnja </w:t>
      </w:r>
    </w:p>
    <w:p w:rsidR="007D4A93" w:rsidRPr="00654E3B" w:rsidRDefault="00EF0BEB">
      <w:pPr>
        <w:rPr>
          <w:rFonts w:cs="Times New Roman"/>
        </w:rPr>
      </w:pPr>
      <w:r w:rsidRPr="00654E3B">
        <w:rPr>
          <w:rFonts w:cs="Times New Roman"/>
        </w:rPr>
        <w:t>Okvirna konvencija Ujedinjenih naroda o promjeni klime (UNFCCC) i Pariški sporazum navode obvezu suradnje te se navodi da će stranke koje su razvijene zemlje svijeta pomagati strankama, koje su zemlje u razvoju</w:t>
      </w:r>
      <w:r w:rsidR="00DC516B" w:rsidRPr="00654E3B">
        <w:rPr>
          <w:rFonts w:cs="Times New Roman"/>
        </w:rPr>
        <w:t>,</w:t>
      </w:r>
      <w:r w:rsidRPr="00654E3B">
        <w:rPr>
          <w:rFonts w:cs="Times New Roman"/>
        </w:rPr>
        <w:t xml:space="preserve"> u potpori za mjere </w:t>
      </w:r>
      <w:r w:rsidR="00DC516B" w:rsidRPr="00654E3B">
        <w:rPr>
          <w:rFonts w:cs="Times New Roman"/>
        </w:rPr>
        <w:t xml:space="preserve">izgradnje </w:t>
      </w:r>
      <w:r w:rsidRPr="00654E3B">
        <w:rPr>
          <w:rFonts w:cs="Times New Roman"/>
        </w:rPr>
        <w:t>kapaciteta za ublažavanje klimatskih promjena i prilagodbi na klimatske promjene. Republika Hrvatska članstvom u EU ulazi u kategoriju razvijenih zemalja svijeta te kroz nacionalnu politiku međunarodne razvojne pomoći treba razvijati programe pomoći odabranim strankama, koje su zemlje u razvoju na temu klimatskih promjena. Pored toga, Republika Hrvatska sudjeluje u kreiranju međunarodne razvojne pomoći EU-a, koja je kao Stranka UNFCCC i Pariškog sporazuma najveći pojedinačni donator u svijetu za klimatsku politiku.</w:t>
      </w:r>
    </w:p>
    <w:p w:rsidR="007D4A93" w:rsidRPr="00654E3B" w:rsidRDefault="00EF0BEB">
      <w:pPr>
        <w:rPr>
          <w:rFonts w:cs="Times New Roman"/>
          <w:b/>
          <w:i/>
          <w:u w:val="single"/>
        </w:rPr>
      </w:pPr>
      <w:r w:rsidRPr="00654E3B">
        <w:rPr>
          <w:rFonts w:cs="Times New Roman"/>
          <w:b/>
          <w:i/>
          <w:u w:val="single"/>
        </w:rPr>
        <w:t xml:space="preserve">Provedba Niskougljične strategije </w:t>
      </w:r>
    </w:p>
    <w:p w:rsidR="007D4A93" w:rsidRPr="00654E3B" w:rsidRDefault="00EF0BEB">
      <w:pPr>
        <w:rPr>
          <w:rFonts w:cs="Times New Roman"/>
        </w:rPr>
      </w:pPr>
      <w:r w:rsidRPr="00654E3B">
        <w:rPr>
          <w:rFonts w:cs="Times New Roman"/>
        </w:rPr>
        <w:t xml:space="preserve">Proces tranzicije prema niskougljičnom gospodarstvu je kontinuiran i dugotrajan i zahvaća cjelokupno društvo i gospodarstvo. Stoga je za uspješnu provedbu Niskougljične strategije potrebna horizontalna međusektorska suradnja središnjih tijela državne uprave i tijela javne vlasti te vertikalna suradnja od državne razine do djelovanja na lokalnoj razini. </w:t>
      </w:r>
    </w:p>
    <w:p w:rsidR="007D4A93" w:rsidRPr="00654E3B" w:rsidRDefault="00EF0BEB">
      <w:pPr>
        <w:rPr>
          <w:rFonts w:cs="Times New Roman"/>
        </w:rPr>
      </w:pPr>
      <w:r w:rsidRPr="00654E3B">
        <w:rPr>
          <w:rFonts w:cs="Times New Roman"/>
        </w:rPr>
        <w:t xml:space="preserve">Kako bi se niskougljični razvoj ugradio u ključne aspekte društva i gospodarstva, za očekivati je da će doći do prilagodbe postojećeg pravnog okvira i razvojnih dokumenata pojedinih područja. </w:t>
      </w:r>
      <w:r w:rsidRPr="00654E3B">
        <w:rPr>
          <w:rFonts w:cs="Times New Roman"/>
          <w:szCs w:val="24"/>
        </w:rPr>
        <w:t xml:space="preserve">Međusektorsku suradnju koordiniraju </w:t>
      </w:r>
      <w:r w:rsidRPr="00654E3B">
        <w:rPr>
          <w:rFonts w:cs="Times New Roman"/>
        </w:rPr>
        <w:t xml:space="preserve">Povjerenstvo za međusektorsku koordinaciju za nacionalni sustav za praćenje emisija stakleničkih plinova i Povjerenstvo za međusektorsku koordinaciju za politiku i mjere za ublažavanje i prilagodbu klimatskim promjenama. </w:t>
      </w:r>
    </w:p>
    <w:p w:rsidR="007D4A93" w:rsidRPr="00654E3B" w:rsidRDefault="006C7329">
      <w:pPr>
        <w:rPr>
          <w:rFonts w:cs="Times New Roman"/>
          <w:szCs w:val="24"/>
        </w:rPr>
      </w:pPr>
      <w:r w:rsidRPr="00654E3B">
        <w:rPr>
          <w:rFonts w:cs="Times New Roman"/>
          <w:szCs w:val="24"/>
        </w:rPr>
        <w:t>T</w:t>
      </w:r>
      <w:r w:rsidR="00EF0BEB" w:rsidRPr="00654E3B">
        <w:rPr>
          <w:rFonts w:cs="Times New Roman"/>
          <w:szCs w:val="24"/>
        </w:rPr>
        <w:t>ijelo državne uprave nadležno za politiku klimatskih promjena</w:t>
      </w:r>
      <w:r w:rsidR="00DC516B" w:rsidRPr="00654E3B">
        <w:rPr>
          <w:rFonts w:cs="Times New Roman"/>
          <w:szCs w:val="24"/>
        </w:rPr>
        <w:t>,</w:t>
      </w:r>
      <w:r w:rsidR="00EF0BEB" w:rsidRPr="00654E3B">
        <w:rPr>
          <w:rFonts w:cs="Times New Roman"/>
          <w:szCs w:val="24"/>
        </w:rPr>
        <w:t xml:space="preserve"> izvješćuje Europsku komisiju o provedbi Niskougljične strategije putem Izvješća o primjeni Niskougljične strategije u rokovima određenima propisima, odnosno u skladu s rasporedom dogovorenim na međunarodnoj razini u kontekstu </w:t>
      </w:r>
      <w:r w:rsidR="00EF0BEB" w:rsidRPr="00654E3B">
        <w:rPr>
          <w:rFonts w:cs="Times New Roman"/>
        </w:rPr>
        <w:t>UNFCCC</w:t>
      </w:r>
      <w:r w:rsidR="00EF0BEB" w:rsidRPr="00654E3B">
        <w:rPr>
          <w:rFonts w:cs="Times New Roman"/>
          <w:szCs w:val="24"/>
        </w:rPr>
        <w:t>.</w:t>
      </w:r>
    </w:p>
    <w:p w:rsidR="007D4A93" w:rsidRPr="00654E3B" w:rsidRDefault="00EF0BEB">
      <w:pPr>
        <w:rPr>
          <w:rFonts w:cs="Times New Roman"/>
          <w:b/>
          <w:i/>
          <w:u w:val="single"/>
        </w:rPr>
      </w:pPr>
      <w:r w:rsidRPr="00654E3B">
        <w:rPr>
          <w:rFonts w:cs="Times New Roman"/>
          <w:b/>
          <w:i/>
          <w:u w:val="single"/>
        </w:rPr>
        <w:t xml:space="preserve">Strateška procjena utjecaja Niskougljične strategije na okoliš  </w:t>
      </w:r>
    </w:p>
    <w:p w:rsidR="007D4A93" w:rsidRPr="00654E3B" w:rsidRDefault="00EF0BEB">
      <w:pPr>
        <w:rPr>
          <w:rFonts w:cs="Times New Roman"/>
        </w:rPr>
      </w:pPr>
      <w:r w:rsidRPr="00654E3B">
        <w:rPr>
          <w:rFonts w:cs="Times New Roman"/>
        </w:rPr>
        <w:t>Sukladno propisima koji uređuju zaštitu okoliša, za Niskougljičnu strategiju proveden je postupak strateške procjene utjecaja na okoliš. U Strateškoj studiji sagledan je mogući utjecaj Niskougljične strategije na okoliš i ekološku mrežu te su određene mjere zaštite okoliša i mjere ublažavanja utjecaja na ciljeve očuvanja i cjelovitost područja ekološke mreže.</w:t>
      </w:r>
    </w:p>
    <w:p w:rsidR="007D4A93" w:rsidRPr="00654E3B" w:rsidRDefault="00EF0BEB">
      <w:pPr>
        <w:pStyle w:val="Heading2"/>
        <w:rPr>
          <w:rFonts w:ascii="Times New Roman" w:hAnsi="Times New Roman" w:cs="Times New Roman"/>
        </w:rPr>
      </w:pPr>
      <w:bookmarkStart w:id="119" w:name="_Toc20841284"/>
      <w:bookmarkStart w:id="120" w:name="_Toc20841390"/>
      <w:bookmarkStart w:id="121" w:name="_Toc69810142"/>
      <w:r w:rsidRPr="00654E3B">
        <w:rPr>
          <w:rFonts w:ascii="Times New Roman" w:hAnsi="Times New Roman" w:cs="Times New Roman"/>
        </w:rPr>
        <w:t>1.2.</w:t>
      </w:r>
      <w:r w:rsidRPr="00654E3B">
        <w:rPr>
          <w:rFonts w:ascii="Times New Roman" w:hAnsi="Times New Roman" w:cs="Times New Roman"/>
        </w:rPr>
        <w:tab/>
        <w:t>PRAVNI KONTEKST I KONTEKST POLITIKA</w:t>
      </w:r>
      <w:bookmarkEnd w:id="119"/>
      <w:bookmarkEnd w:id="120"/>
      <w:bookmarkEnd w:id="121"/>
    </w:p>
    <w:p w:rsidR="007D4A93" w:rsidRPr="00654E3B" w:rsidRDefault="007D4A93">
      <w:pPr>
        <w:rPr>
          <w:rFonts w:cs="Times New Roman"/>
        </w:rPr>
      </w:pPr>
    </w:p>
    <w:p w:rsidR="007D4A93" w:rsidRPr="00654E3B" w:rsidRDefault="00EF0BEB">
      <w:pPr>
        <w:rPr>
          <w:rFonts w:cs="Times New Roman"/>
        </w:rPr>
      </w:pPr>
      <w:r w:rsidRPr="00654E3B">
        <w:rPr>
          <w:rFonts w:cs="Times New Roman"/>
        </w:rPr>
        <w:t>Globalna promjena klime danas je jedan od najvećih izazova čovječanstva. Znanstveno je utvrđeno da su vodeći uzroci promjene klime povećana emisija stakleničkih plinova, najviše kao posljedica izgaranja fosilnih goriva i intenzivne poljoprivrede te sječa prašuma. Zajedničko djelovanje država u cilju sprječavanja globalnih promjena provodi se kroz UNFCCC-a. Kyotski protokol uz UNFCCC i izmjena iz Dohe Kyotskog protokola nisu spriječili globalni porast emisije. Pariškim sporazumom (2015.)</w:t>
      </w:r>
      <w:r w:rsidR="00DC516B" w:rsidRPr="00654E3B">
        <w:rPr>
          <w:rFonts w:cs="Times New Roman"/>
        </w:rPr>
        <w:t>,</w:t>
      </w:r>
      <w:r w:rsidRPr="00654E3B">
        <w:rPr>
          <w:rFonts w:cs="Times New Roman"/>
        </w:rPr>
        <w:t xml:space="preserve"> države su se obvezale da će zajedničkim djelovanjem smanjivati emisije stakleničkih plinova s ciljem </w:t>
      </w:r>
      <w:r w:rsidRPr="00654E3B">
        <w:rPr>
          <w:rFonts w:cs="Times New Roman"/>
        </w:rPr>
        <w:lastRenderedPageBreak/>
        <w:t>ograničavanja porasta prosječne globalne temperature do najaviše 2°C do kraja stoljeća, te dodatnim naporima na postizanju ograničenja porasta temperature do 1,5°C. Ciljevi smanjenja emisija stakleničkih plinova određuju se vlastitim planiranjem, tako da svaka stranka Pariškog sporazuma (ili skupina država)</w:t>
      </w:r>
      <w:r w:rsidR="00DC516B" w:rsidRPr="00654E3B">
        <w:rPr>
          <w:rFonts w:cs="Times New Roman"/>
        </w:rPr>
        <w:t>,</w:t>
      </w:r>
      <w:r w:rsidRPr="00654E3B">
        <w:rPr>
          <w:rFonts w:cs="Times New Roman"/>
        </w:rPr>
        <w:t xml:space="preserve"> određuje planirani nacionalno utvrđeni doprinos do</w:t>
      </w:r>
      <w:r w:rsidR="00FF5A77" w:rsidRPr="00654E3B">
        <w:rPr>
          <w:rFonts w:cs="Times New Roman"/>
        </w:rPr>
        <w:t xml:space="preserve"> 2025 ili</w:t>
      </w:r>
      <w:r w:rsidRPr="00654E3B">
        <w:rPr>
          <w:rFonts w:cs="Times New Roman"/>
        </w:rPr>
        <w:t xml:space="preserve"> 2030. godine. </w:t>
      </w:r>
    </w:p>
    <w:p w:rsidR="007D4A93" w:rsidRPr="00654E3B" w:rsidRDefault="00EF0BEB">
      <w:pPr>
        <w:rPr>
          <w:rFonts w:cs="Times New Roman"/>
          <w:color w:val="000000"/>
        </w:rPr>
      </w:pPr>
      <w:r w:rsidRPr="00654E3B">
        <w:rPr>
          <w:rFonts w:cs="Times New Roman"/>
          <w:color w:val="000000" w:themeColor="text1"/>
        </w:rPr>
        <w:t xml:space="preserve">Republika Hrvatska stranka je Pariškog sporazuma od 2017. godine, čime se obvezala provoditi mjere smanjenja emisija stakleničkih plinova u okviru obveza EU. </w:t>
      </w:r>
    </w:p>
    <w:p w:rsidR="007D4A93" w:rsidRPr="00654E3B" w:rsidRDefault="00EF0BEB">
      <w:pPr>
        <w:rPr>
          <w:rFonts w:cs="Times New Roman"/>
        </w:rPr>
      </w:pPr>
      <w:r w:rsidRPr="00654E3B">
        <w:rPr>
          <w:rFonts w:cs="Times New Roman"/>
        </w:rPr>
        <w:t xml:space="preserve">Polazište politike EU-a za put prema niskougljičnom gospodarstvu </w:t>
      </w:r>
      <w:r w:rsidR="00FF5A77" w:rsidRPr="00654E3B">
        <w:rPr>
          <w:rFonts w:cs="Times New Roman"/>
        </w:rPr>
        <w:t xml:space="preserve">je </w:t>
      </w:r>
      <w:r w:rsidRPr="00654E3B">
        <w:rPr>
          <w:rFonts w:cs="Times New Roman"/>
        </w:rPr>
        <w:t>Okvir klimatsko-energetske politike EU do 2030. godine, kojim su postavljeni sljedeći ciljevi:</w:t>
      </w:r>
    </w:p>
    <w:p w:rsidR="007D4A93" w:rsidRPr="00654E3B" w:rsidRDefault="00EF0BEB" w:rsidP="000C6795">
      <w:pPr>
        <w:pStyle w:val="ListParagraph"/>
        <w:numPr>
          <w:ilvl w:val="0"/>
          <w:numId w:val="6"/>
        </w:numPr>
        <w:rPr>
          <w:rFonts w:cs="Times New Roman"/>
        </w:rPr>
      </w:pPr>
      <w:r w:rsidRPr="00654E3B">
        <w:rPr>
          <w:rFonts w:cs="Times New Roman"/>
        </w:rPr>
        <w:t>smanjenje emisija stakleničkih plinova za</w:t>
      </w:r>
      <w:r w:rsidR="00FF5A77" w:rsidRPr="00654E3B">
        <w:rPr>
          <w:rFonts w:cs="Times New Roman"/>
        </w:rPr>
        <w:t xml:space="preserve"> najmanje</w:t>
      </w:r>
      <w:r w:rsidRPr="00654E3B">
        <w:rPr>
          <w:rFonts w:cs="Times New Roman"/>
        </w:rPr>
        <w:t xml:space="preserve"> 40</w:t>
      </w:r>
      <w:r w:rsidR="00060992" w:rsidRPr="00654E3B">
        <w:rPr>
          <w:rFonts w:cs="Times New Roman"/>
        </w:rPr>
        <w:t xml:space="preserve"> %</w:t>
      </w:r>
      <w:r w:rsidRPr="00654E3B">
        <w:rPr>
          <w:rFonts w:cs="Times New Roman"/>
        </w:rPr>
        <w:t xml:space="preserve"> u usporedbi s razinama iz 1990. godine</w:t>
      </w:r>
    </w:p>
    <w:p w:rsidR="007D4A93" w:rsidRPr="00654E3B" w:rsidRDefault="00EF0BEB" w:rsidP="000C6795">
      <w:pPr>
        <w:pStyle w:val="ListParagraph"/>
        <w:numPr>
          <w:ilvl w:val="0"/>
          <w:numId w:val="6"/>
        </w:numPr>
        <w:rPr>
          <w:rFonts w:cs="Times New Roman"/>
        </w:rPr>
      </w:pPr>
      <w:r w:rsidRPr="00654E3B">
        <w:rPr>
          <w:rFonts w:cs="Times New Roman"/>
        </w:rPr>
        <w:t>najmanje 32</w:t>
      </w:r>
      <w:r w:rsidR="00060992" w:rsidRPr="00654E3B">
        <w:rPr>
          <w:rFonts w:cs="Times New Roman"/>
        </w:rPr>
        <w:t xml:space="preserve"> %</w:t>
      </w:r>
      <w:r w:rsidRPr="00654E3B">
        <w:rPr>
          <w:rFonts w:cs="Times New Roman"/>
        </w:rPr>
        <w:t xml:space="preserve"> potrošene energije treba biti iz obnovljivih izvora </w:t>
      </w:r>
    </w:p>
    <w:p w:rsidR="007D4A93" w:rsidRPr="00654E3B" w:rsidRDefault="00EF0BEB" w:rsidP="000C6795">
      <w:pPr>
        <w:pStyle w:val="ListParagraph"/>
        <w:numPr>
          <w:ilvl w:val="0"/>
          <w:numId w:val="6"/>
        </w:numPr>
        <w:rPr>
          <w:rFonts w:cs="Times New Roman"/>
        </w:rPr>
      </w:pPr>
      <w:r w:rsidRPr="00654E3B">
        <w:rPr>
          <w:rFonts w:cs="Times New Roman"/>
        </w:rPr>
        <w:t>poboljšanje energetske učinkovitosti za najmanje 32,5</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 xml:space="preserve">Krajem 2018. godine </w:t>
      </w:r>
      <w:r w:rsidR="00C90B04" w:rsidRPr="00654E3B">
        <w:rPr>
          <w:rFonts w:cs="Times New Roman"/>
        </w:rPr>
        <w:t xml:space="preserve">je objavljen </w:t>
      </w:r>
      <w:r w:rsidRPr="00654E3B">
        <w:rPr>
          <w:rFonts w:cs="Times New Roman"/>
        </w:rPr>
        <w:t xml:space="preserve">dokument Čist planet za sve - Europska strateška dugoročna vizija za perspektivno, moderno, konkurentno i klimatski neutralno gospodarstvo (eng. </w:t>
      </w:r>
      <w:r w:rsidRPr="00654E3B">
        <w:rPr>
          <w:rFonts w:cs="Times New Roman"/>
          <w:i/>
        </w:rPr>
        <w:t>A Clean Planet for all – A European strategic long-term vision for a prosperous, modern, competitive and climate neutral economy</w:t>
      </w:r>
      <w:r w:rsidRPr="00654E3B">
        <w:rPr>
          <w:rFonts w:cs="Times New Roman"/>
        </w:rPr>
        <w:t>). Svrha je ove dugoročne strategije</w:t>
      </w:r>
      <w:r w:rsidR="00C90B04" w:rsidRPr="00654E3B">
        <w:rPr>
          <w:rFonts w:cs="Times New Roman"/>
        </w:rPr>
        <w:t>, koja je u ožujku 20</w:t>
      </w:r>
      <w:r w:rsidR="006D58F4" w:rsidRPr="00654E3B">
        <w:rPr>
          <w:rFonts w:cs="Times New Roman"/>
        </w:rPr>
        <w:t>2</w:t>
      </w:r>
      <w:r w:rsidR="00C90B04" w:rsidRPr="00654E3B">
        <w:rPr>
          <w:rFonts w:cs="Times New Roman"/>
        </w:rPr>
        <w:t>0. godine usvojena i dostavljena u Tajništvo UNFCCC,</w:t>
      </w:r>
      <w:r w:rsidRPr="00654E3B">
        <w:rPr>
          <w:rFonts w:cs="Times New Roman"/>
        </w:rPr>
        <w:t xml:space="preserve"> potvrditi vodeću ulogu Europe u oblikovanju globalne klimatske politike te predstaviti viziju koja može pomoći da se do 2050.</w:t>
      </w:r>
      <w:r w:rsidR="00DC516B" w:rsidRPr="00654E3B">
        <w:rPr>
          <w:rFonts w:cs="Times New Roman"/>
        </w:rPr>
        <w:t>,</w:t>
      </w:r>
      <w:r w:rsidRPr="00654E3B">
        <w:rPr>
          <w:rFonts w:cs="Times New Roman"/>
        </w:rPr>
        <w:t xml:space="preserve"> na troškovno učinkovit način i putem društveno pravedne tranzicije postigne neto nulta stopa emisija stakleničkih plinova te se očekuje da će se u narednim godinama kroz intenzivne analize i rasprave država članica</w:t>
      </w:r>
      <w:r w:rsidR="00DC516B" w:rsidRPr="00654E3B">
        <w:rPr>
          <w:rFonts w:cs="Times New Roman"/>
        </w:rPr>
        <w:t>,</w:t>
      </w:r>
      <w:r w:rsidRPr="00654E3B">
        <w:rPr>
          <w:rFonts w:cs="Times New Roman"/>
        </w:rPr>
        <w:t xml:space="preserve"> analizirati mogući scenariji nulte neto emisije stakleničkih plinova.</w:t>
      </w:r>
    </w:p>
    <w:p w:rsidR="007D4A93" w:rsidRPr="00654E3B" w:rsidRDefault="00EF0BEB">
      <w:pPr>
        <w:rPr>
          <w:rFonts w:cs="Times New Roman"/>
        </w:rPr>
      </w:pPr>
      <w:r w:rsidRPr="00654E3B">
        <w:rPr>
          <w:rFonts w:cs="Times New Roman"/>
        </w:rPr>
        <w:t>Krajem 2019. godine</w:t>
      </w:r>
      <w:r w:rsidR="00DC516B" w:rsidRPr="00654E3B">
        <w:rPr>
          <w:rFonts w:cs="Times New Roman"/>
        </w:rPr>
        <w:t>,</w:t>
      </w:r>
      <w:r w:rsidRPr="00654E3B">
        <w:rPr>
          <w:rFonts w:cs="Times New Roman"/>
        </w:rPr>
        <w:t xml:space="preserve"> Europska komisija  objavljuje svoj novi strateški politički okvir još ambicioznijeg djelovanja - Europski zeleni plan. Ovo je prvi put da se klimatski i okolišni ciljevi stavljaju u središte političkog djelovanja</w:t>
      </w:r>
      <w:r w:rsidR="00DC516B" w:rsidRPr="00654E3B">
        <w:rPr>
          <w:rFonts w:cs="Times New Roman"/>
        </w:rPr>
        <w:t>,</w:t>
      </w:r>
      <w:r w:rsidRPr="00654E3B">
        <w:rPr>
          <w:rFonts w:cs="Times New Roman"/>
        </w:rPr>
        <w:t xml:space="preserve"> jer se EU nastoji preobraziti u pravedno i prosperitetno društvo s modernim, resursno učinkovitim i konkurentnim gospodarstvom</w:t>
      </w:r>
      <w:r w:rsidR="00DC516B" w:rsidRPr="00654E3B">
        <w:rPr>
          <w:rFonts w:cs="Times New Roman"/>
        </w:rPr>
        <w:t>,</w:t>
      </w:r>
      <w:r w:rsidRPr="00654E3B">
        <w:rPr>
          <w:rFonts w:cs="Times New Roman"/>
        </w:rPr>
        <w:t xml:space="preserve"> u kojem 2050. godine neće biti neto emisija stakleničkih plinova i u kojem gospodarski rast nije povezan s upotrebom resursa. Europski zeleni plan ubrzat će i poduprijeti tranziciju koja je potrebna u svim sektorima te će doprinijeti provedbi Programa Ujedinjenih naroda do 2030. godine i </w:t>
      </w:r>
      <w:r w:rsidR="00345739" w:rsidRPr="00654E3B">
        <w:rPr>
          <w:rFonts w:cs="Times New Roman"/>
        </w:rPr>
        <w:t>njegovih</w:t>
      </w:r>
      <w:r w:rsidRPr="00654E3B">
        <w:rPr>
          <w:rFonts w:cs="Times New Roman"/>
        </w:rPr>
        <w:t xml:space="preserve"> Ciljeva održivog razvoja. </w:t>
      </w:r>
    </w:p>
    <w:p w:rsidR="00B31438" w:rsidRPr="00654E3B" w:rsidRDefault="00B31438">
      <w:pPr>
        <w:rPr>
          <w:rFonts w:cs="Times New Roman"/>
        </w:rPr>
      </w:pPr>
      <w:r w:rsidRPr="00654E3B">
        <w:rPr>
          <w:rFonts w:cs="Times New Roman"/>
        </w:rPr>
        <w:t>Sredinom 2020. godine Europska komisija je zajedno s 14 država članica Europske unije među kojima je i Republika Hrvatska</w:t>
      </w:r>
      <w:r w:rsidR="00913819" w:rsidRPr="00654E3B">
        <w:rPr>
          <w:rFonts w:cs="Times New Roman"/>
        </w:rPr>
        <w:t>,</w:t>
      </w:r>
      <w:r w:rsidRPr="00654E3B">
        <w:rPr>
          <w:rFonts w:cs="Times New Roman"/>
        </w:rPr>
        <w:t xml:space="preserve"> potpisala Memorandum o razumijevanju za provedbu Deklaracije o čistoj energiji za EU otoke (Memorandum of Split), kao nastavak Deklaracije iz Vallete, kojem je cilj unaprijediti energetsku tranziciju na otocima uz poštivanje specifičnosti svakog otoka te proširiti i ojačati suradnju između država članica. Republika Hrvatska je inicirala potpisivanje Memoranduma tijekom predsjedanja Vijećem Europske unije. </w:t>
      </w:r>
      <w:r w:rsidR="00241E02" w:rsidRPr="00654E3B">
        <w:rPr>
          <w:rFonts w:cs="Times New Roman"/>
        </w:rPr>
        <w:t>M</w:t>
      </w:r>
      <w:r w:rsidRPr="00654E3B">
        <w:rPr>
          <w:rFonts w:cs="Times New Roman"/>
        </w:rPr>
        <w:t>emorandumom se osigurava detaljna podrška otocima u pripremi njihovih strategija za proces tranzicije na čistu energiju i suradnja energetskih zajednica na otocima. Njime se prepoznaje važnost provedbe projekata</w:t>
      </w:r>
      <w:r w:rsidR="00913819" w:rsidRPr="00654E3B">
        <w:rPr>
          <w:rFonts w:cs="Times New Roman"/>
        </w:rPr>
        <w:t>,</w:t>
      </w:r>
      <w:r w:rsidRPr="00654E3B">
        <w:rPr>
          <w:rFonts w:cs="Times New Roman"/>
        </w:rPr>
        <w:t xml:space="preserve"> usmjerenih na povećanje upotrebe obnovljivih izvora energije pomoću korištenja inovativnih tehnologija, razvoja čistog i održivog prometa te integracije elektroenergetskog sustava s drugim sektorima. </w:t>
      </w:r>
      <w:r w:rsidR="00241E02" w:rsidRPr="00654E3B">
        <w:rPr>
          <w:rFonts w:cs="Times New Roman"/>
        </w:rPr>
        <w:t>M</w:t>
      </w:r>
      <w:r w:rsidRPr="00654E3B">
        <w:rPr>
          <w:rFonts w:cs="Times New Roman"/>
        </w:rPr>
        <w:t>emorandum</w:t>
      </w:r>
      <w:r w:rsidR="00241E02" w:rsidRPr="00654E3B">
        <w:rPr>
          <w:rFonts w:cs="Times New Roman"/>
        </w:rPr>
        <w:t xml:space="preserve"> </w:t>
      </w:r>
      <w:r w:rsidRPr="00654E3B">
        <w:rPr>
          <w:rFonts w:cs="Times New Roman"/>
        </w:rPr>
        <w:t>uzima u obzir ciljeve Pariškog sporazuma</w:t>
      </w:r>
      <w:r w:rsidR="00913819" w:rsidRPr="00654E3B">
        <w:rPr>
          <w:rFonts w:cs="Times New Roman"/>
        </w:rPr>
        <w:t xml:space="preserve"> i </w:t>
      </w:r>
      <w:r w:rsidRPr="00654E3B">
        <w:rPr>
          <w:rFonts w:cs="Times New Roman"/>
        </w:rPr>
        <w:t xml:space="preserve">Europskog zelenog </w:t>
      </w:r>
      <w:r w:rsidR="00241E02" w:rsidRPr="00654E3B">
        <w:rPr>
          <w:rFonts w:cs="Times New Roman"/>
        </w:rPr>
        <w:t xml:space="preserve"> plana</w:t>
      </w:r>
      <w:r w:rsidRPr="00654E3B">
        <w:rPr>
          <w:rFonts w:cs="Times New Roman"/>
        </w:rPr>
        <w:t xml:space="preserve">, </w:t>
      </w:r>
      <w:r w:rsidR="00241E02" w:rsidRPr="00654E3B">
        <w:rPr>
          <w:rFonts w:cs="Times New Roman"/>
        </w:rPr>
        <w:t xml:space="preserve">ciljeve </w:t>
      </w:r>
      <w:r w:rsidRPr="00654E3B">
        <w:rPr>
          <w:rFonts w:cs="Times New Roman"/>
        </w:rPr>
        <w:t>postizanj</w:t>
      </w:r>
      <w:r w:rsidR="00241E02" w:rsidRPr="00654E3B">
        <w:rPr>
          <w:rFonts w:cs="Times New Roman"/>
        </w:rPr>
        <w:t>a</w:t>
      </w:r>
      <w:r w:rsidRPr="00654E3B">
        <w:rPr>
          <w:rFonts w:cs="Times New Roman"/>
        </w:rPr>
        <w:t xml:space="preserve"> klimatski neutralne EU do 2050. godine, zakonodavni paket Čista energija za sve Europljane te nacionalne energetske i klimatske planove</w:t>
      </w:r>
      <w:r w:rsidR="00241E02" w:rsidRPr="00654E3B">
        <w:rPr>
          <w:rFonts w:cs="Times New Roman"/>
        </w:rPr>
        <w:t>.</w:t>
      </w:r>
    </w:p>
    <w:p w:rsidR="007D4A93" w:rsidRPr="00654E3B" w:rsidRDefault="001323D0">
      <w:pPr>
        <w:rPr>
          <w:rFonts w:cs="Times New Roman"/>
        </w:rPr>
      </w:pPr>
      <w:r w:rsidRPr="00654E3B">
        <w:rPr>
          <w:rFonts w:cs="Times New Roman"/>
        </w:rPr>
        <w:t xml:space="preserve">EU </w:t>
      </w:r>
      <w:r w:rsidR="00EF0BEB" w:rsidRPr="00654E3B">
        <w:rPr>
          <w:rFonts w:cs="Times New Roman"/>
        </w:rPr>
        <w:t xml:space="preserve">Uredba o upravljanju propisuje izradu NECP-a </w:t>
      </w:r>
      <w:r w:rsidR="00AD0F53" w:rsidRPr="00654E3B">
        <w:rPr>
          <w:rFonts w:cs="Times New Roman"/>
        </w:rPr>
        <w:t xml:space="preserve">za razdoblje </w:t>
      </w:r>
      <w:r w:rsidR="00EF0BEB" w:rsidRPr="00654E3B">
        <w:rPr>
          <w:rFonts w:cs="Times New Roman"/>
        </w:rPr>
        <w:t xml:space="preserve">do 2030. godine i dugoročne niskougljične strategije </w:t>
      </w:r>
      <w:r w:rsidR="00AD0F53" w:rsidRPr="00654E3B">
        <w:rPr>
          <w:rFonts w:cs="Times New Roman"/>
        </w:rPr>
        <w:t>do 2030. godine s pogledom  na</w:t>
      </w:r>
      <w:r w:rsidR="00EF0BEB" w:rsidRPr="00654E3B">
        <w:rPr>
          <w:rFonts w:cs="Times New Roman"/>
        </w:rPr>
        <w:t xml:space="preserve"> 2050</w:t>
      </w:r>
      <w:r w:rsidR="00913819" w:rsidRPr="00654E3B">
        <w:rPr>
          <w:rFonts w:cs="Times New Roman"/>
        </w:rPr>
        <w:t>-u</w:t>
      </w:r>
      <w:r w:rsidR="00EF0BEB" w:rsidRPr="00654E3B">
        <w:rPr>
          <w:rFonts w:cs="Times New Roman"/>
        </w:rPr>
        <w:t>.</w:t>
      </w:r>
      <w:r w:rsidR="00913819" w:rsidRPr="00654E3B">
        <w:rPr>
          <w:rFonts w:cs="Times New Roman"/>
        </w:rPr>
        <w:t xml:space="preserve">, </w:t>
      </w:r>
      <w:r w:rsidR="00EF0BEB" w:rsidRPr="00654E3B">
        <w:rPr>
          <w:rFonts w:cs="Times New Roman"/>
        </w:rPr>
        <w:t xml:space="preserve">te obvezu njihovog usklađivanja. Odredbe </w:t>
      </w:r>
      <w:r w:rsidRPr="00654E3B">
        <w:rPr>
          <w:rFonts w:cs="Times New Roman"/>
        </w:rPr>
        <w:t xml:space="preserve">EU </w:t>
      </w:r>
      <w:r w:rsidR="00EF0BEB" w:rsidRPr="00654E3B">
        <w:rPr>
          <w:rFonts w:cs="Times New Roman"/>
        </w:rPr>
        <w:t>Uredbe o upravljanju</w:t>
      </w:r>
      <w:r w:rsidR="00913819" w:rsidRPr="00654E3B">
        <w:rPr>
          <w:rFonts w:cs="Times New Roman"/>
        </w:rPr>
        <w:t>,</w:t>
      </w:r>
      <w:r w:rsidR="00EF0BEB" w:rsidRPr="00654E3B">
        <w:rPr>
          <w:rFonts w:cs="Times New Roman"/>
        </w:rPr>
        <w:t xml:space="preserve"> prenesene su u Zakon o klimatskim promjenama i zaštiti ozonskog sloja.</w:t>
      </w:r>
    </w:p>
    <w:p w:rsidR="007D4A93" w:rsidRPr="00654E3B" w:rsidRDefault="00EF0BEB">
      <w:pPr>
        <w:rPr>
          <w:rFonts w:cs="Times New Roman"/>
        </w:rPr>
      </w:pPr>
      <w:r w:rsidRPr="00654E3B">
        <w:rPr>
          <w:rFonts w:cs="Times New Roman"/>
        </w:rPr>
        <w:t>Zakon o klimatskim promjenama i zaštiti ozonskog sloja</w:t>
      </w:r>
      <w:r w:rsidR="00913819" w:rsidRPr="00654E3B">
        <w:rPr>
          <w:rFonts w:cs="Times New Roman"/>
        </w:rPr>
        <w:t>,</w:t>
      </w:r>
      <w:r w:rsidRPr="00654E3B">
        <w:rPr>
          <w:rFonts w:cs="Times New Roman"/>
        </w:rPr>
        <w:t xml:space="preserve"> postavlja obvezu izrade Niskougljične strategije) i Akcijskog plana za provedbu Niskougljične strategije za razdoblje od pet godina. Prema Zakonu o klimatskim promjenama i zaštiti ozonskog sloja</w:t>
      </w:r>
      <w:r w:rsidR="00913819" w:rsidRPr="00654E3B">
        <w:rPr>
          <w:rFonts w:cs="Times New Roman"/>
        </w:rPr>
        <w:t>,</w:t>
      </w:r>
      <w:r w:rsidRPr="00654E3B">
        <w:rPr>
          <w:rFonts w:cs="Times New Roman"/>
        </w:rPr>
        <w:t xml:space="preserve"> smanjivanje emisija stakleničkih plinova na teritoriju Republike Hrvatske osigurava se provođenjem Niskougljične strategije, Akcijskog plana provedbe Niskougljične strategije, NECP-a, razvojnih dokumenata pojedinih sektora, postupnim </w:t>
      </w:r>
      <w:r w:rsidRPr="00654E3B">
        <w:rPr>
          <w:rFonts w:cs="Times New Roman"/>
        </w:rPr>
        <w:lastRenderedPageBreak/>
        <w:t>ograničavanjem emisijskih jedinica u okviru EU sustava trgovanja emisijama, dodjeljivanjem utvrđene godišnje emisijske kvote Republici Hrvatskoj za sektore izvan EU sustava trgovanja emisijama, koja se ne smije premašiti, mjerama u sektorima izvan sustava trgovanja emisijama, mjerama u sektoru korištenja zemljišta i šumarstva i drugim mjerama koje pridonose ublažavanju klimatskih promjena. Zakon o klimatskim promjenama i zaštiti ozonskog sloja</w:t>
      </w:r>
      <w:r w:rsidR="00B95C69" w:rsidRPr="00654E3B">
        <w:rPr>
          <w:rFonts w:cs="Times New Roman"/>
        </w:rPr>
        <w:t>,</w:t>
      </w:r>
      <w:r w:rsidRPr="00654E3B">
        <w:rPr>
          <w:rFonts w:cs="Times New Roman"/>
        </w:rPr>
        <w:t xml:space="preserve"> propisuje da nacionalni razvojni dokumenti i razvojni dokumenti pojedinih područja i djelatnosti moraju biti usklađeni s načelima, osnovnim ciljevima, prioritetima i mjerama utvrđenim u Niskougljičnoj strategiji.</w:t>
      </w:r>
    </w:p>
    <w:p w:rsidR="007D4A93" w:rsidRPr="00654E3B" w:rsidRDefault="00EF0BEB">
      <w:pPr>
        <w:rPr>
          <w:rFonts w:cs="Times New Roman"/>
        </w:rPr>
      </w:pPr>
      <w:r w:rsidRPr="00654E3B">
        <w:rPr>
          <w:rFonts w:cs="Times New Roman"/>
          <w:b/>
        </w:rPr>
        <w:t>Niskougljična strategija određuje put Republike Hrvatske prema konkurentnom gospodarstvu s niskom emisijom stakleničkih plinova.</w:t>
      </w:r>
      <w:r w:rsidRPr="00654E3B">
        <w:rPr>
          <w:rFonts w:cs="Times New Roman"/>
        </w:rPr>
        <w:t xml:space="preserve"> Ciljevi smanjenja emisije stakleničkih plinova do 2030. i 2050. godine provodit će se u Republici Hrvatskoj unutar političkog okvira koji je usvojila Europska unija. Niskougljična strategija odnosi se na sve sektore gospodarstva i ljudske aktivnosti, a osobito je vezana za energetiku, industriju, promet, poljoprivredu, šumarstvo i </w:t>
      </w:r>
      <w:r w:rsidR="00345739" w:rsidRPr="00654E3B">
        <w:rPr>
          <w:rFonts w:cs="Times New Roman"/>
        </w:rPr>
        <w:t xml:space="preserve">gospodarenje </w:t>
      </w:r>
      <w:r w:rsidRPr="00654E3B">
        <w:rPr>
          <w:rFonts w:cs="Times New Roman"/>
        </w:rPr>
        <w:t>otpad</w:t>
      </w:r>
      <w:r w:rsidR="00345739" w:rsidRPr="00654E3B">
        <w:rPr>
          <w:rFonts w:cs="Times New Roman"/>
        </w:rPr>
        <w:t>om</w:t>
      </w:r>
      <w:r w:rsidRPr="00654E3B">
        <w:rPr>
          <w:rFonts w:cs="Times New Roman"/>
        </w:rPr>
        <w:t xml:space="preserve">. </w:t>
      </w:r>
    </w:p>
    <w:p w:rsidR="007D4A93" w:rsidRPr="00654E3B" w:rsidRDefault="00EF0BEB">
      <w:pPr>
        <w:rPr>
          <w:rFonts w:cs="Times New Roman"/>
        </w:rPr>
      </w:pPr>
      <w:r w:rsidRPr="00654E3B">
        <w:rPr>
          <w:rFonts w:cs="Times New Roman"/>
        </w:rPr>
        <w:t xml:space="preserve">Proces tranzicije prema niskougljičnom gospodarstvu je kontinuiran i dugotrajan, zahvaća cjelokupno društvo i gospodarstvo. Proces tranzicije treba biti promišljen i prilagođen mogućnostima i raspoloživim resursima. To je prilika da se poboljšanjima postojeće infrastrukture i tehnoloških rješenja, inovacijama, transferom naprednih tehnologija, značajnim strukturalnim promjenama u svim sektorima, potakne porast industrijske proizvodnje, investicijski ciklus, razvoj novih djelatnosti, gospodarstva te otvore nova radna mjesta održive perspektive.  </w:t>
      </w:r>
    </w:p>
    <w:p w:rsidR="007D4A93" w:rsidRPr="00654E3B" w:rsidRDefault="00EF0BEB">
      <w:pPr>
        <w:rPr>
          <w:rFonts w:cs="Times New Roman"/>
        </w:rPr>
      </w:pPr>
      <w:r w:rsidRPr="00654E3B">
        <w:rPr>
          <w:rFonts w:cs="Times New Roman"/>
        </w:rPr>
        <w:t>Niskougljična strategija postavlja sljedeće opće ciljeve:</w:t>
      </w:r>
    </w:p>
    <w:p w:rsidR="007D4A93" w:rsidRPr="00654E3B" w:rsidRDefault="00EF0BEB" w:rsidP="000C6795">
      <w:pPr>
        <w:pStyle w:val="ListParagraph"/>
        <w:numPr>
          <w:ilvl w:val="0"/>
          <w:numId w:val="7"/>
        </w:numPr>
        <w:rPr>
          <w:rFonts w:cs="Times New Roman"/>
          <w:b/>
        </w:rPr>
      </w:pPr>
      <w:r w:rsidRPr="00654E3B">
        <w:rPr>
          <w:rFonts w:cs="Times New Roman"/>
          <w:b/>
        </w:rPr>
        <w:t>Postizanje održivog razvoja temeljenog na znanju i konkurentnom gospodarstvu s niskom razinom ugljika i učinkovitim korištenjem resursa</w:t>
      </w:r>
      <w:r w:rsidR="006B0525" w:rsidRPr="00654E3B">
        <w:rPr>
          <w:rFonts w:cs="Times New Roman"/>
          <w:b/>
        </w:rPr>
        <w:t>:</w:t>
      </w:r>
    </w:p>
    <w:p w:rsidR="007D4A93" w:rsidRPr="00654E3B" w:rsidRDefault="00EF0BEB" w:rsidP="000C6795">
      <w:pPr>
        <w:pStyle w:val="ListParagraph"/>
        <w:numPr>
          <w:ilvl w:val="1"/>
          <w:numId w:val="8"/>
        </w:numPr>
        <w:rPr>
          <w:rFonts w:cs="Times New Roman"/>
        </w:rPr>
      </w:pPr>
      <w:r w:rsidRPr="00654E3B">
        <w:rPr>
          <w:rFonts w:cs="Times New Roman"/>
        </w:rPr>
        <w:t>povećanje zapošljavanja u rastućim sektorima gospodarstva i ‘zelenoj’ ekonomiji</w:t>
      </w:r>
      <w:r w:rsidR="006B0525" w:rsidRPr="00654E3B">
        <w:rPr>
          <w:rFonts w:cs="Times New Roman"/>
        </w:rPr>
        <w:t>,</w:t>
      </w:r>
    </w:p>
    <w:p w:rsidR="007D4A93" w:rsidRPr="00654E3B" w:rsidRDefault="00EF0BEB" w:rsidP="000C6795">
      <w:pPr>
        <w:pStyle w:val="ListParagraph"/>
        <w:numPr>
          <w:ilvl w:val="1"/>
          <w:numId w:val="8"/>
        </w:numPr>
        <w:rPr>
          <w:rFonts w:cs="Times New Roman"/>
        </w:rPr>
      </w:pPr>
      <w:r w:rsidRPr="00654E3B">
        <w:rPr>
          <w:rFonts w:cs="Times New Roman"/>
        </w:rPr>
        <w:t>poticanje regionalnog i ruralnog razvoja</w:t>
      </w:r>
      <w:r w:rsidR="006B0525" w:rsidRPr="00654E3B">
        <w:rPr>
          <w:rFonts w:cs="Times New Roman"/>
        </w:rPr>
        <w:t>,</w:t>
      </w:r>
    </w:p>
    <w:p w:rsidR="007D4A93" w:rsidRPr="00654E3B" w:rsidRDefault="00EF0BEB" w:rsidP="000C6795">
      <w:pPr>
        <w:pStyle w:val="ListParagraph"/>
        <w:numPr>
          <w:ilvl w:val="1"/>
          <w:numId w:val="8"/>
        </w:numPr>
        <w:rPr>
          <w:rFonts w:cs="Times New Roman"/>
        </w:rPr>
      </w:pPr>
      <w:r w:rsidRPr="00654E3B">
        <w:rPr>
          <w:rFonts w:cs="Times New Roman"/>
        </w:rPr>
        <w:t>poticanje inovacija i tehnološkog razvoja</w:t>
      </w:r>
      <w:r w:rsidR="006B0525" w:rsidRPr="00654E3B">
        <w:rPr>
          <w:rFonts w:cs="Times New Roman"/>
        </w:rPr>
        <w:t>,</w:t>
      </w:r>
    </w:p>
    <w:p w:rsidR="007D4A93" w:rsidRPr="00654E3B" w:rsidRDefault="00EF0BEB" w:rsidP="000C6795">
      <w:pPr>
        <w:pStyle w:val="ListParagraph"/>
        <w:numPr>
          <w:ilvl w:val="1"/>
          <w:numId w:val="8"/>
        </w:numPr>
        <w:rPr>
          <w:rFonts w:cs="Times New Roman"/>
        </w:rPr>
      </w:pPr>
      <w:r w:rsidRPr="00654E3B">
        <w:rPr>
          <w:rFonts w:cs="Times New Roman"/>
        </w:rPr>
        <w:t>poticanje obrazovanja, cjeloživotnog učenja i specijalizacija za niskougljično gospodarstvo</w:t>
      </w:r>
      <w:r w:rsidR="006B0525" w:rsidRPr="00654E3B">
        <w:rPr>
          <w:rFonts w:cs="Times New Roman"/>
        </w:rPr>
        <w:t>,</w:t>
      </w:r>
    </w:p>
    <w:p w:rsidR="007D4A93" w:rsidRPr="00654E3B" w:rsidRDefault="00EF0BEB" w:rsidP="000C6795">
      <w:pPr>
        <w:pStyle w:val="ListParagraph"/>
        <w:numPr>
          <w:ilvl w:val="1"/>
          <w:numId w:val="8"/>
        </w:numPr>
        <w:rPr>
          <w:rFonts w:cs="Times New Roman"/>
        </w:rPr>
      </w:pPr>
      <w:r w:rsidRPr="00654E3B">
        <w:rPr>
          <w:rFonts w:cs="Times New Roman"/>
        </w:rPr>
        <w:t>doprinos socijalnom uključivanju</w:t>
      </w:r>
      <w:r w:rsidR="006B0525" w:rsidRPr="00654E3B">
        <w:rPr>
          <w:rFonts w:cs="Times New Roman"/>
        </w:rPr>
        <w:t>.</w:t>
      </w:r>
    </w:p>
    <w:p w:rsidR="007D4A93" w:rsidRPr="00654E3B" w:rsidRDefault="00EF0BEB" w:rsidP="000C6795">
      <w:pPr>
        <w:pStyle w:val="ListParagraph"/>
        <w:numPr>
          <w:ilvl w:val="0"/>
          <w:numId w:val="7"/>
        </w:numPr>
        <w:rPr>
          <w:rFonts w:cs="Times New Roman"/>
          <w:b/>
        </w:rPr>
      </w:pPr>
      <w:r w:rsidRPr="00654E3B">
        <w:rPr>
          <w:rFonts w:cs="Times New Roman"/>
          <w:b/>
        </w:rPr>
        <w:t>Povećanje sigurnosti opskrbe energijom, održivost energetske opskrbe, povećanje dostupnosti energije i smanjenje energetske ovisnosti</w:t>
      </w:r>
      <w:r w:rsidR="006B0525" w:rsidRPr="00654E3B">
        <w:rPr>
          <w:rFonts w:cs="Times New Roman"/>
          <w:b/>
        </w:rPr>
        <w:t>;</w:t>
      </w:r>
    </w:p>
    <w:p w:rsidR="007D4A93" w:rsidRPr="00654E3B" w:rsidRDefault="00EF0BEB" w:rsidP="000C6795">
      <w:pPr>
        <w:pStyle w:val="ListParagraph"/>
        <w:numPr>
          <w:ilvl w:val="0"/>
          <w:numId w:val="7"/>
        </w:numPr>
        <w:rPr>
          <w:rFonts w:cs="Times New Roman"/>
          <w:b/>
        </w:rPr>
      </w:pPr>
      <w:r w:rsidRPr="00654E3B">
        <w:rPr>
          <w:rFonts w:cs="Times New Roman"/>
          <w:b/>
        </w:rPr>
        <w:t>Solidarnost izvršavanjem obveza Republike Hrvatske prema međunarodnim sporazumima u okviru politike EU-a, kao dio naše povijesne odgovornosti i doprinos globalnim ciljevima</w:t>
      </w:r>
      <w:r w:rsidR="006B0525" w:rsidRPr="00654E3B">
        <w:rPr>
          <w:rFonts w:cs="Times New Roman"/>
          <w:b/>
        </w:rPr>
        <w:t>;</w:t>
      </w:r>
    </w:p>
    <w:p w:rsidR="007D4A93" w:rsidRPr="00654E3B" w:rsidRDefault="00EF0BEB" w:rsidP="000C6795">
      <w:pPr>
        <w:pStyle w:val="ListParagraph"/>
        <w:numPr>
          <w:ilvl w:val="0"/>
          <w:numId w:val="7"/>
        </w:numPr>
        <w:rPr>
          <w:rFonts w:cs="Times New Roman"/>
        </w:rPr>
      </w:pPr>
      <w:r w:rsidRPr="00654E3B">
        <w:rPr>
          <w:rFonts w:cs="Times New Roman"/>
          <w:b/>
        </w:rPr>
        <w:t xml:space="preserve">Smanjenje onečišćenja zraka i utjecaja na zdravlje te kvalitetu života građana. </w:t>
      </w:r>
    </w:p>
    <w:p w:rsidR="007D4A93" w:rsidRPr="00654E3B" w:rsidRDefault="00EF0BEB">
      <w:pPr>
        <w:rPr>
          <w:rFonts w:cs="Times New Roman"/>
        </w:rPr>
      </w:pPr>
      <w:r w:rsidRPr="00654E3B">
        <w:rPr>
          <w:rFonts w:cs="Times New Roman"/>
        </w:rPr>
        <w:t xml:space="preserve">U pogledu međunarodnih obveza Republika Hrvatska podržava načelo zajedničke, ali različite odgovornosti. Gospodarske i druge nacionalne osobitosti trebaju se uzeti u obzir pri određivanju tranzicijskog razdoblja za prijelaz na niskougljično gospodarstvo. Republika Hrvatska treba kroz Niskougljičnu strategiju krenuti putem koji je za njezine građane najpovoljniji. </w:t>
      </w:r>
    </w:p>
    <w:p w:rsidR="007D4A93" w:rsidRPr="00654E3B" w:rsidRDefault="00EF0BEB">
      <w:pPr>
        <w:rPr>
          <w:rFonts w:cs="Times New Roman"/>
        </w:rPr>
      </w:pPr>
      <w:r w:rsidRPr="00654E3B">
        <w:rPr>
          <w:rFonts w:cs="Times New Roman"/>
        </w:rPr>
        <w:t>Niskougljična strategija stoga:</w:t>
      </w:r>
    </w:p>
    <w:p w:rsidR="007D4A93" w:rsidRPr="00654E3B" w:rsidRDefault="00EF0BEB">
      <w:pPr>
        <w:rPr>
          <w:rFonts w:cs="Times New Roman"/>
        </w:rPr>
      </w:pPr>
      <w:r w:rsidRPr="00654E3B">
        <w:rPr>
          <w:rFonts w:cs="Times New Roman"/>
        </w:rPr>
        <w:t>- stvara sinergiju s konceptom razvoja novih zelenih poslova i ekonomije, konceptom kružnog gospodarstva u kojem se resursi koriste maksimalno, nastanak otpada se svodi na najmanju moguću mjeru</w:t>
      </w:r>
      <w:r w:rsidR="006B0525" w:rsidRPr="00654E3B">
        <w:rPr>
          <w:rFonts w:cs="Times New Roman"/>
        </w:rPr>
        <w:t>;</w:t>
      </w:r>
    </w:p>
    <w:p w:rsidR="007D4A93" w:rsidRPr="00654E3B" w:rsidRDefault="00EF0BEB">
      <w:pPr>
        <w:rPr>
          <w:rFonts w:cs="Times New Roman"/>
        </w:rPr>
      </w:pPr>
      <w:r w:rsidRPr="00654E3B">
        <w:rPr>
          <w:rFonts w:cs="Times New Roman"/>
        </w:rPr>
        <w:t>- daje viziju pojedinih sektora do 2050. godine u kontekstu niskougljičnog razvoja, ali to je primjenjivo za čitavo društvo i gospodarstvo</w:t>
      </w:r>
      <w:r w:rsidR="006B0525" w:rsidRPr="00654E3B">
        <w:rPr>
          <w:rFonts w:cs="Times New Roman"/>
        </w:rPr>
        <w:t>;</w:t>
      </w:r>
    </w:p>
    <w:p w:rsidR="007D4A93" w:rsidRPr="00654E3B" w:rsidRDefault="00EF0BEB">
      <w:pPr>
        <w:rPr>
          <w:rFonts w:cs="Times New Roman"/>
        </w:rPr>
      </w:pPr>
      <w:r w:rsidRPr="00654E3B">
        <w:rPr>
          <w:rFonts w:cs="Times New Roman"/>
          <w:u w:val="single"/>
        </w:rPr>
        <w:lastRenderedPageBreak/>
        <w:t>- postavlja sljedeća opća načela</w:t>
      </w:r>
      <w:r w:rsidRPr="00654E3B">
        <w:rPr>
          <w:rFonts w:cs="Times New Roman"/>
        </w:rPr>
        <w:t>: održivi razvoj, onečišćivač plaća</w:t>
      </w:r>
      <w:r w:rsidRPr="00F01191">
        <w:rPr>
          <w:rStyle w:val="FootnoteReference"/>
          <w:rFonts w:ascii="Times New Roman" w:hAnsi="Times New Roman" w:cs="Times New Roman"/>
        </w:rPr>
        <w:footnoteReference w:id="2"/>
      </w:r>
      <w:r w:rsidRPr="00F01191">
        <w:rPr>
          <w:rFonts w:cs="Times New Roman"/>
        </w:rPr>
        <w:t>, primjena horizontalnog principa, fleksibilnost, uključ</w:t>
      </w:r>
      <w:r w:rsidR="001A4008" w:rsidRPr="00654E3B">
        <w:rPr>
          <w:rFonts w:cs="Times New Roman"/>
        </w:rPr>
        <w:t>ivost</w:t>
      </w:r>
      <w:r w:rsidRPr="00654E3B">
        <w:rPr>
          <w:rFonts w:cs="Times New Roman"/>
        </w:rPr>
        <w:t>, inovativnost, solidarnost, sinergija djelovanja, cjelokupnost (holistički pristup) i planska dugoročnost</w:t>
      </w:r>
      <w:r w:rsidR="006B0525" w:rsidRPr="00654E3B">
        <w:rPr>
          <w:rFonts w:cs="Times New Roman"/>
        </w:rPr>
        <w:t>;</w:t>
      </w:r>
    </w:p>
    <w:p w:rsidR="007D4A93" w:rsidRPr="00654E3B" w:rsidRDefault="00EF0BEB">
      <w:pPr>
        <w:rPr>
          <w:rFonts w:cs="Times New Roman"/>
        </w:rPr>
      </w:pPr>
      <w:r w:rsidRPr="00654E3B">
        <w:rPr>
          <w:rFonts w:cs="Times New Roman"/>
        </w:rPr>
        <w:t xml:space="preserve">- prepoznaje da je održivi razvoj ravnoteža između gospodarskog rasta, zaštite okoliša i društvenog razvoja. Troškovi mjera smanjenja emisija stakleničkih plinova ne smiju ugroziti gospodarski razvoj. Provođenje mjera niskougljičnog razvoja trebaju financirati onečišćivači, pri čemu raspodjela opterećenja treba biti pravedna, a modeli prikupljanja sredstava jednostavni i transparentni. </w:t>
      </w:r>
    </w:p>
    <w:p w:rsidR="007D4A93" w:rsidRPr="00654E3B" w:rsidRDefault="00EF0BEB">
      <w:pPr>
        <w:rPr>
          <w:rFonts w:cs="Times New Roman"/>
        </w:rPr>
      </w:pPr>
      <w:r w:rsidRPr="00654E3B">
        <w:rPr>
          <w:rFonts w:cs="Times New Roman"/>
        </w:rPr>
        <w:t xml:space="preserve">Primjena horizontalnog principa podrazumijeva prostiranje kroz sve sektore i kapilarno uključivanje u relevantne politike na nacionalnoj razini. Primjerice, mjere uštede energije trebaju se smatrati novim izvorom energije i jednako vrednovati kao izgradnja novih energetskih kapaciteta. Isto tako, mjere za povećanje </w:t>
      </w:r>
      <w:r w:rsidR="001A4008" w:rsidRPr="00654E3B">
        <w:rPr>
          <w:rFonts w:cs="Times New Roman"/>
        </w:rPr>
        <w:t>ponora</w:t>
      </w:r>
      <w:r w:rsidRPr="00654E3B">
        <w:rPr>
          <w:rFonts w:cs="Times New Roman"/>
        </w:rPr>
        <w:t xml:space="preserve"> stakleničkih plinova u aktivnostima gospodarenja šumama i poljoprivredi treba poticati, odnosno one se trebaju smatrati mjerama smanjenja emisije. Fleksibilnost znači da niskougljični razvoj treba biti dovoljno otvoren da uvažava moguće vanjske geopolitičke okolnosti i druge poremećaje, ostavljajući pojedinim sektorima dovoljno mogućnosti da sami odlučuju o svojim ciljevima. </w:t>
      </w:r>
      <w:r w:rsidR="00481971" w:rsidRPr="00654E3B">
        <w:rPr>
          <w:rFonts w:cs="Times New Roman"/>
        </w:rPr>
        <w:t>Uključivost</w:t>
      </w:r>
      <w:r w:rsidRPr="00654E3B">
        <w:rPr>
          <w:rFonts w:cs="Times New Roman"/>
        </w:rPr>
        <w:t xml:space="preserve"> podrazumijeva </w:t>
      </w:r>
      <w:r w:rsidR="00481971" w:rsidRPr="00654E3B">
        <w:rPr>
          <w:rFonts w:cs="Times New Roman"/>
        </w:rPr>
        <w:t>doprinos</w:t>
      </w:r>
      <w:r w:rsidRPr="00654E3B">
        <w:rPr>
          <w:rFonts w:cs="Times New Roman"/>
        </w:rPr>
        <w:t xml:space="preserve"> svih sektora smanjenju emisije stakleničkih plinova pa i onih koji doprinose emisiji indirektno. </w:t>
      </w:r>
    </w:p>
    <w:p w:rsidR="007D4A93" w:rsidRPr="00654E3B" w:rsidRDefault="00EF0BEB">
      <w:pPr>
        <w:rPr>
          <w:rFonts w:cs="Times New Roman"/>
        </w:rPr>
      </w:pPr>
      <w:r w:rsidRPr="00654E3B">
        <w:rPr>
          <w:rFonts w:cs="Times New Roman"/>
        </w:rPr>
        <w:t>Inovativnost i pametna rješenja preduvjeti su za međunarodnu i globalnu konkurentnost. Republika Hrvatska treba biti solidarna međunarodno, a solidarnost treba poticati i između sektora. Veći učinci se postižu ako se uspijevaju stvoriti uvjeti za sinergijsko djelovanje te treba poticati aktivnosti i mjere takvog djelovanja. Načelo cjelovitosti pri planiranju niskougljičnog razvoja osobito je važno.</w:t>
      </w:r>
    </w:p>
    <w:p w:rsidR="007D4A93" w:rsidRPr="00654E3B" w:rsidRDefault="00EF0BEB">
      <w:pPr>
        <w:rPr>
          <w:rFonts w:cs="Times New Roman"/>
        </w:rPr>
      </w:pPr>
      <w:r w:rsidRPr="00654E3B">
        <w:rPr>
          <w:rFonts w:cs="Times New Roman"/>
        </w:rPr>
        <w:t>Niskougljična strategija podupire dvanaest od ukupno trinaest ciljeva Nacionalne razvojne strategije</w:t>
      </w:r>
      <w:r w:rsidR="001F4285" w:rsidRPr="00654E3B">
        <w:rPr>
          <w:rFonts w:cs="Times New Roman"/>
        </w:rPr>
        <w:t xml:space="preserve"> Republike Hrvatske do 2030. godine</w:t>
      </w:r>
      <w:r w:rsidRPr="00654E3B">
        <w:rPr>
          <w:rFonts w:cs="Times New Roman"/>
        </w:rPr>
        <w:t xml:space="preserve">: Konkurentno i inovativno gospodarstvo, obrazovani i zaposleni ljudi, globalna prepoznatljivost i jačanje međunarodnog položaja i uloge </w:t>
      </w:r>
      <w:r w:rsidR="006B0525" w:rsidRPr="00654E3B">
        <w:rPr>
          <w:rFonts w:cs="Times New Roman"/>
        </w:rPr>
        <w:t xml:space="preserve">Republike </w:t>
      </w:r>
      <w:r w:rsidRPr="00654E3B">
        <w:rPr>
          <w:rFonts w:cs="Times New Roman"/>
        </w:rPr>
        <w:t xml:space="preserve">Hrvatske, </w:t>
      </w:r>
      <w:r w:rsidR="006B0525" w:rsidRPr="00654E3B">
        <w:rPr>
          <w:rFonts w:cs="Times New Roman"/>
        </w:rPr>
        <w:t>zdrav</w:t>
      </w:r>
      <w:r w:rsidRPr="00654E3B">
        <w:rPr>
          <w:rFonts w:cs="Times New Roman"/>
        </w:rPr>
        <w:t>, aktivan i kvalitetan život, demografska revitalizacija i bolji položaj obitelji, sigurnost za stabilan razvoj, ekološka i energetska tranzicija za klimatsku neutralnost, samodostatnost u hrani i razvoj biogospodarstva, održiva mobilnost, digitalna tranzicija društva i gospodarstva, razvoj potpomognutih područja i područja s razvojnim posebnostima i jačanje regionalne konkurentnosti.</w:t>
      </w:r>
    </w:p>
    <w:p w:rsidR="007D4A93" w:rsidRPr="00654E3B" w:rsidRDefault="00EF0BEB">
      <w:pPr>
        <w:pStyle w:val="Heading2"/>
        <w:rPr>
          <w:rFonts w:ascii="Times New Roman" w:hAnsi="Times New Roman" w:cs="Times New Roman"/>
        </w:rPr>
      </w:pPr>
      <w:bookmarkStart w:id="122" w:name="_Toc20841285"/>
      <w:bookmarkStart w:id="123" w:name="_Toc20841391"/>
      <w:bookmarkStart w:id="124" w:name="_Toc69810143"/>
      <w:r w:rsidRPr="00654E3B">
        <w:rPr>
          <w:rFonts w:ascii="Times New Roman" w:hAnsi="Times New Roman" w:cs="Times New Roman"/>
        </w:rPr>
        <w:t>1.3.</w:t>
      </w:r>
      <w:r w:rsidRPr="00654E3B">
        <w:rPr>
          <w:rFonts w:ascii="Times New Roman" w:hAnsi="Times New Roman" w:cs="Times New Roman"/>
        </w:rPr>
        <w:tab/>
        <w:t>KRONOLOGIJA IZRADE NISKOUGLJIČNE STRATEGIJE I JAVNO SAVJETOVANJE</w:t>
      </w:r>
      <w:bookmarkEnd w:id="122"/>
      <w:bookmarkEnd w:id="123"/>
      <w:bookmarkEnd w:id="124"/>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Niskougljična strategija izrađena je kroz četiri koraka. Svaki korak je uključivao konzultacije sa stručnom i zainteresiranom javnosti. </w:t>
      </w:r>
    </w:p>
    <w:p w:rsidR="007D4A93" w:rsidRPr="00654E3B" w:rsidRDefault="00EF0BEB">
      <w:pPr>
        <w:rPr>
          <w:rFonts w:cs="Times New Roman"/>
          <w:u w:val="single"/>
        </w:rPr>
      </w:pPr>
      <w:r w:rsidRPr="00654E3B">
        <w:rPr>
          <w:rFonts w:cs="Times New Roman"/>
          <w:u w:val="single"/>
        </w:rPr>
        <w:t>Prvi korak (2012. – 2013. godina)</w:t>
      </w:r>
    </w:p>
    <w:p w:rsidR="007D4A93" w:rsidRPr="00654E3B" w:rsidRDefault="00EF0BEB">
      <w:pPr>
        <w:rPr>
          <w:rFonts w:cs="Times New Roman"/>
        </w:rPr>
      </w:pPr>
      <w:r w:rsidRPr="00654E3B">
        <w:rPr>
          <w:rFonts w:cs="Times New Roman"/>
        </w:rPr>
        <w:t xml:space="preserve">Prvi korak započeo je 2012. godine kroz LEDS projekt u partnerstvu s UNDP-om, čime je izrađen Okvir za izradu Strategije niskougljičnog razvoja. Fokus projekta bio je na širokim konzultacijama po sektorima, održavanjem niza sektorskih radionica: energetska postrojenja (proizvodnja, potrošnja, uvoz i izvoz energije), zgradarstvo, promet, industrija, poljoprivreda i šumarstvo, otpad i turizam. Na radionicama su sudionici aktivno sudjelovali u analizi snaga, slabosti, prilika i prijetnji (SWOT analiza) te u utvrđivanju vizije niskougljičnog razvoja. Utvrđene su i prioritetne mjere i smjernice za izradu Niskougljične strategije. Okvir za izradu Niskougljične strategije je potom usvojen u okviru Plana zaštite zraka, ozonskog sloja i ublažavanja klimatskih promjena u Republici Hrvatskoj za razdoblje od 2013. do 2017. godine. </w:t>
      </w:r>
    </w:p>
    <w:p w:rsidR="007D4A93" w:rsidRPr="00654E3B" w:rsidRDefault="00EF0BEB">
      <w:pPr>
        <w:rPr>
          <w:rFonts w:cs="Times New Roman"/>
          <w:u w:val="single"/>
        </w:rPr>
      </w:pPr>
      <w:r w:rsidRPr="00654E3B">
        <w:rPr>
          <w:rFonts w:cs="Times New Roman"/>
          <w:u w:val="single"/>
        </w:rPr>
        <w:t>Drugi korak (2014. – 2015. godina)</w:t>
      </w:r>
    </w:p>
    <w:p w:rsidR="007D4A93" w:rsidRPr="00654E3B" w:rsidRDefault="00EF0BEB">
      <w:pPr>
        <w:rPr>
          <w:rFonts w:cs="Times New Roman"/>
        </w:rPr>
      </w:pPr>
      <w:r w:rsidRPr="00654E3B">
        <w:rPr>
          <w:rFonts w:cs="Times New Roman"/>
        </w:rPr>
        <w:lastRenderedPageBreak/>
        <w:t>U drugom koraku izrađene su stručne podloge za Niskougljičnu strategiju. Proces izrade tekao je po dvije linije, analitičkim poslom pripreme stručnih podloga i paralelnim konzultacijama s dionicima i zainteresiranom javnosti. Konzultacije s dionicima obuhvatile su i sektorske radionice za energetska postrojenja (proizvodnja, potrošnja, uvoz i izvoz energije) i industriju, promet, zgradarstvo, poljoprivredu i šumarstvo te otpad. Na radionicama su sudionici prikazali unutarnje čimbenike (snage i slabosti) i vanjske čimbenike (prilike i prijetnje) koji karakteriziraju postojeće stanje u sektorima. Niskougljični razvoj razmatran je u okviru općeg gospodarskog i društvenog razvoja Republike Hrvatske i strukturnih reformi u pojedinim sektorima koje direktno ili indirektno utječu na racionalnije i učinkovitije gospodarenje prirodnim resursima i smanjenje utjecaja na okoliš. Osim navedenih radionica, rezultati stručnih podloga Niskougljične strategije prezentirani su na konferencijama, forumima i stručnim skupovima.</w:t>
      </w:r>
    </w:p>
    <w:p w:rsidR="007D4A93" w:rsidRPr="00654E3B" w:rsidRDefault="00EF0BEB">
      <w:pPr>
        <w:rPr>
          <w:rFonts w:cs="Times New Roman"/>
        </w:rPr>
      </w:pPr>
      <w:r w:rsidRPr="00654E3B">
        <w:rPr>
          <w:rFonts w:cs="Times New Roman"/>
        </w:rPr>
        <w:t>Izrađena je Zelena knjiga, u kojoj su dani detaljni tehnički opisi i podaci, opisani modeli, metode, mjere, scenariji, učinci niskougljičnih scenarija na gospodarstvo, društvo i okoliš, analiza osjetljivosti, smjernice, financiranje</w:t>
      </w:r>
      <w:r w:rsidR="00B34C1F" w:rsidRPr="00654E3B">
        <w:rPr>
          <w:rFonts w:cs="Times New Roman"/>
        </w:rPr>
        <w:t>,</w:t>
      </w:r>
      <w:r w:rsidRPr="00654E3B">
        <w:rPr>
          <w:rFonts w:cs="Times New Roman"/>
        </w:rPr>
        <w:t xml:space="preserve"> itd. Na temelju Zelene knjige izrađena je prva </w:t>
      </w:r>
      <w:r w:rsidR="007C1C68" w:rsidRPr="00654E3B">
        <w:rPr>
          <w:rFonts w:cs="Times New Roman"/>
        </w:rPr>
        <w:t>verzija</w:t>
      </w:r>
      <w:r w:rsidRPr="00654E3B">
        <w:rPr>
          <w:rFonts w:cs="Times New Roman"/>
        </w:rPr>
        <w:t xml:space="preserve"> Bijele knjige koja predstavlja sažetak rezultata, fokusirani tekst na odabrane mjere, scenarije i politike, sa smjernicama provedbe, uključujući potrebne financijske mehanizme. Bijela knjiga predstavlja prijedlog Niskougljične strategije.</w:t>
      </w:r>
      <w:r w:rsidR="007C1C68" w:rsidRPr="00654E3B">
        <w:rPr>
          <w:rFonts w:cs="Times New Roman"/>
        </w:rPr>
        <w:t xml:space="preserve"> Započeo je postupak strateške procjene utjecaja na okoliš.</w:t>
      </w:r>
    </w:p>
    <w:p w:rsidR="007D4A93" w:rsidRPr="00654E3B" w:rsidRDefault="00EF0BEB">
      <w:pPr>
        <w:rPr>
          <w:rFonts w:cs="Times New Roman"/>
          <w:u w:val="single"/>
        </w:rPr>
      </w:pPr>
      <w:r w:rsidRPr="00654E3B">
        <w:rPr>
          <w:rFonts w:cs="Times New Roman"/>
          <w:u w:val="single"/>
        </w:rPr>
        <w:t>Treći korak (2016. – 2017. godina)</w:t>
      </w:r>
    </w:p>
    <w:p w:rsidR="007D4A93" w:rsidRPr="00654E3B" w:rsidRDefault="00EF0BEB">
      <w:pPr>
        <w:rPr>
          <w:rFonts w:cs="Times New Roman"/>
        </w:rPr>
      </w:pPr>
      <w:r w:rsidRPr="00654E3B">
        <w:rPr>
          <w:rFonts w:cs="Times New Roman"/>
        </w:rPr>
        <w:t xml:space="preserve">U trećem koraku provedeni su novi proračuni i novelacija niskougljičnih scenarija te je izrađena </w:t>
      </w:r>
      <w:r w:rsidR="007C1C68" w:rsidRPr="00654E3B">
        <w:rPr>
          <w:rFonts w:cs="Times New Roman"/>
        </w:rPr>
        <w:t>prva</w:t>
      </w:r>
      <w:r w:rsidRPr="00654E3B">
        <w:rPr>
          <w:rFonts w:cs="Times New Roman"/>
        </w:rPr>
        <w:t xml:space="preserve"> revizija Bijele knjige. Tri su glavna razloga zašto je bilo razložno provesti ponovljeni proračun. </w:t>
      </w:r>
    </w:p>
    <w:p w:rsidR="007D4A93" w:rsidRPr="00654E3B" w:rsidRDefault="00EF0BEB">
      <w:pPr>
        <w:rPr>
          <w:rFonts w:cs="Times New Roman"/>
        </w:rPr>
      </w:pPr>
      <w:r w:rsidRPr="00654E3B">
        <w:rPr>
          <w:rFonts w:cs="Times New Roman"/>
        </w:rPr>
        <w:t xml:space="preserve">Prvi razlog je što je tijekom 2016. godine došlo do promjena u povijesnom nizu podataka energetike, pa je s tim u vezi bilo potrebno ponoviti proračun emisija stakleničkih plinova za razdoblje od 1990. godine. Drugi razlog je promjena ključnih čimbenika: cijena fosilnog goriva (posebice plina), prognoza u cijenama </w:t>
      </w:r>
      <w:r w:rsidR="00500F34" w:rsidRPr="00654E3B">
        <w:rPr>
          <w:rFonts w:cs="Times New Roman"/>
        </w:rPr>
        <w:t>emisijskih jedinica</w:t>
      </w:r>
      <w:r w:rsidRPr="00654E3B">
        <w:rPr>
          <w:rFonts w:cs="Times New Roman"/>
        </w:rPr>
        <w:t xml:space="preserve">, značajnijeg pada cijena tehnologija obnovljivih izvora energije (posebice sunčanih elektrana). Treći razlog je promjena Vlade Republike Hrvatske krajem 2016. godine, čime su postavljene nove razvojne smjernice za razdoblje od 2017. do 2020. godine, pa se s tim u vezi javila potreba preispitivanja pojedinih ciljeva, politika i mjera. </w:t>
      </w:r>
    </w:p>
    <w:p w:rsidR="007D4A93" w:rsidRPr="00654E3B" w:rsidRDefault="00EF0BEB">
      <w:pPr>
        <w:rPr>
          <w:rFonts w:cs="Times New Roman"/>
        </w:rPr>
      </w:pPr>
      <w:r w:rsidRPr="00654E3B">
        <w:rPr>
          <w:rFonts w:cs="Times New Roman"/>
        </w:rPr>
        <w:t>Tijekom izrade revizije Bijele knjige</w:t>
      </w:r>
      <w:r w:rsidR="00B34C1F" w:rsidRPr="00654E3B">
        <w:rPr>
          <w:rFonts w:cs="Times New Roman"/>
        </w:rPr>
        <w:t>,</w:t>
      </w:r>
      <w:r w:rsidRPr="00654E3B">
        <w:rPr>
          <w:rFonts w:cs="Times New Roman"/>
        </w:rPr>
        <w:t xml:space="preserve"> provedeni su konzultativni sastanci s </w:t>
      </w:r>
      <w:r w:rsidR="00500F34" w:rsidRPr="00654E3B">
        <w:rPr>
          <w:rFonts w:cs="Times New Roman"/>
        </w:rPr>
        <w:t xml:space="preserve">nadležnim </w:t>
      </w:r>
      <w:r w:rsidRPr="00654E3B">
        <w:rPr>
          <w:rFonts w:cs="Times New Roman"/>
        </w:rPr>
        <w:t xml:space="preserve">ministarstvima. </w:t>
      </w:r>
      <w:r w:rsidR="007C1C68" w:rsidRPr="00654E3B">
        <w:rPr>
          <w:rFonts w:cs="Times New Roman"/>
        </w:rPr>
        <w:t>Nastavljen</w:t>
      </w:r>
      <w:r w:rsidRPr="00654E3B">
        <w:rPr>
          <w:rFonts w:cs="Times New Roman"/>
        </w:rPr>
        <w:t xml:space="preserve"> je postupak strateške procjene utjecaja na okoliš te je tijekom 2017. godine provedeno javno savjetovanje o prijedlogu Strategije niskougljičnog razvoja Republike Hrvatske do 2030. godine s pogledom na 2050. godinu i Strateškoj studiji utjecaja na okoliš Strategije niskougljičnog razvoja Republike Hrvatske do 2030. godine s pogledom na 2050. godinu.</w:t>
      </w:r>
    </w:p>
    <w:p w:rsidR="007D4A93" w:rsidRPr="00654E3B" w:rsidRDefault="00EF0BEB">
      <w:pPr>
        <w:rPr>
          <w:rFonts w:cs="Times New Roman"/>
        </w:rPr>
      </w:pPr>
      <w:r w:rsidRPr="00654E3B">
        <w:rPr>
          <w:rFonts w:cs="Times New Roman"/>
        </w:rPr>
        <w:t xml:space="preserve">Krajem 2017. godine se prišlo izradi </w:t>
      </w:r>
      <w:r w:rsidR="007C1C68" w:rsidRPr="00654E3B">
        <w:rPr>
          <w:rFonts w:cs="Times New Roman"/>
        </w:rPr>
        <w:t>Energetske s</w:t>
      </w:r>
      <w:r w:rsidRPr="00654E3B">
        <w:rPr>
          <w:rFonts w:cs="Times New Roman"/>
        </w:rPr>
        <w:t>trategije te NECP-a  za razdoblje od 2021. do 2030. godine. Obveza usklađivanja NECP-a i Niskougljične strategije proizlazi iz EU Uredbe o upravljanju</w:t>
      </w:r>
      <w:r w:rsidR="007C1C68" w:rsidRPr="00654E3B">
        <w:rPr>
          <w:rFonts w:cs="Times New Roman"/>
        </w:rPr>
        <w:t>,</w:t>
      </w:r>
      <w:r w:rsidRPr="00654E3B">
        <w:rPr>
          <w:rFonts w:cs="Times New Roman"/>
        </w:rPr>
        <w:t xml:space="preserve"> </w:t>
      </w:r>
      <w:r w:rsidR="007C1C68" w:rsidRPr="00654E3B">
        <w:rPr>
          <w:rFonts w:cs="Times New Roman"/>
        </w:rPr>
        <w:t>s</w:t>
      </w:r>
      <w:r w:rsidRPr="00654E3B">
        <w:rPr>
          <w:rFonts w:cs="Times New Roman"/>
        </w:rPr>
        <w:t xml:space="preserve">toga je donošenje Niskougljične strategije odgođeno kako bi ciljevi svih tih dokumenata bili usklađeni. </w:t>
      </w:r>
    </w:p>
    <w:p w:rsidR="007D4A93" w:rsidRPr="00654E3B" w:rsidRDefault="00EF0BEB">
      <w:pPr>
        <w:rPr>
          <w:rFonts w:cs="Times New Roman"/>
          <w:u w:val="single"/>
        </w:rPr>
      </w:pPr>
      <w:r w:rsidRPr="00654E3B">
        <w:rPr>
          <w:rFonts w:cs="Times New Roman"/>
          <w:u w:val="single"/>
        </w:rPr>
        <w:t>Četvrti korak (2019. – 2020. godina)</w:t>
      </w:r>
    </w:p>
    <w:p w:rsidR="007D4A93" w:rsidRPr="00654E3B" w:rsidRDefault="00EF0BEB">
      <w:pPr>
        <w:rPr>
          <w:rFonts w:cs="Times New Roman"/>
        </w:rPr>
      </w:pPr>
      <w:r w:rsidRPr="00654E3B">
        <w:rPr>
          <w:rFonts w:cs="Times New Roman"/>
        </w:rPr>
        <w:t>Energetska strategija utvrđuje smanjenje emisija u sektorima energetike: postrojenja za proizvodnju i transformaciju energije, industrija i građevinarstvo, cestovni i vancestovni promet, neindustrijska ložišta te fugitivna emisija iz fosilnih goriva. Izrađena je Strateška studija utjecaja na okoliš Energetske strategije te je sredinom 2019. godine provedena javna rasprava o oba dokumenta. Strategija energetskog razvoja Republike Hrvatske do 2030. godine s pogledom na 2050. godinu usvojena je u veljači 2020. (</w:t>
      </w:r>
      <w:r w:rsidR="0097190B" w:rsidRPr="00654E3B">
        <w:rPr>
          <w:rFonts w:cs="Times New Roman"/>
        </w:rPr>
        <w:t>Narodne novine</w:t>
      </w:r>
      <w:r w:rsidRPr="00654E3B">
        <w:rPr>
          <w:rFonts w:cs="Times New Roman"/>
        </w:rPr>
        <w:t>, broj 25/2020).</w:t>
      </w:r>
    </w:p>
    <w:p w:rsidR="007D4A93" w:rsidRPr="00654E3B" w:rsidRDefault="00EF0BEB">
      <w:pPr>
        <w:rPr>
          <w:rFonts w:cs="Times New Roman"/>
        </w:rPr>
      </w:pPr>
      <w:r w:rsidRPr="00654E3B">
        <w:rPr>
          <w:rFonts w:cs="Times New Roman"/>
        </w:rPr>
        <w:t>Paralelno s izradom Energetske strategije započela je i izrada NECP-a</w:t>
      </w:r>
      <w:r w:rsidR="00B34C1F" w:rsidRPr="00654E3B">
        <w:rPr>
          <w:rFonts w:cs="Times New Roman"/>
        </w:rPr>
        <w:t>,</w:t>
      </w:r>
      <w:r w:rsidRPr="00654E3B">
        <w:rPr>
          <w:rFonts w:cs="Times New Roman"/>
        </w:rPr>
        <w:t xml:space="preserve"> koji daje pregled ciljeva Republike Hrvatske za svaku od pet ključnih dimenzija Energetske unije: dekarbonizacija, energetska učinkovitost, energetska sigurnost, unutarnje energetsko tržište te istraživanje, inovacije i konkurentnost i odgovarajuće politike i mjere za ostvarivanje tih ciljeva.</w:t>
      </w:r>
    </w:p>
    <w:p w:rsidR="007D4A93" w:rsidRPr="00654E3B" w:rsidRDefault="00EF0BEB">
      <w:pPr>
        <w:rPr>
          <w:rFonts w:cs="Times New Roman"/>
        </w:rPr>
      </w:pPr>
      <w:r w:rsidRPr="00654E3B">
        <w:rPr>
          <w:rFonts w:cs="Times New Roman"/>
        </w:rPr>
        <w:t xml:space="preserve">U koordinaciji s izradom Energetske strategije, NECP-a te kroz iterativni pristup provedena je novelacija Niskougljične strategije. Uvažavajući obaveze Republike Hrvatske prema EU te druge međunarodne obveze, usklađeni su ciljevi smanjenja emisije stakleničkih plinova u energetskim </w:t>
      </w:r>
      <w:r w:rsidRPr="00654E3B">
        <w:rPr>
          <w:rFonts w:cs="Times New Roman"/>
        </w:rPr>
        <w:lastRenderedPageBreak/>
        <w:t>sektorima. Istovremeno su ažurirani referentni i niskougljični scenariji ne-energetskih sektora (industrijski procesi i uporaba proizvoda, poljoprivreda, otpad, korištenje zemljišta, prenamjene zemljišta i šumarstvo - LULUCF).</w:t>
      </w:r>
    </w:p>
    <w:p w:rsidR="007D4A93" w:rsidRPr="00654E3B" w:rsidRDefault="00EF0BEB">
      <w:pPr>
        <w:rPr>
          <w:rFonts w:cs="Times New Roman"/>
        </w:rPr>
      </w:pPr>
      <w:r w:rsidRPr="00654E3B">
        <w:rPr>
          <w:rFonts w:cs="Times New Roman"/>
        </w:rPr>
        <w:t>Paralelno s izradom novelirane Bijele knjige Niskougljične strategije Republike Hrvatske</w:t>
      </w:r>
      <w:r w:rsidR="00B34C1F" w:rsidRPr="00654E3B">
        <w:rPr>
          <w:rFonts w:cs="Times New Roman"/>
        </w:rPr>
        <w:t>,</w:t>
      </w:r>
      <w:r w:rsidRPr="00654E3B">
        <w:rPr>
          <w:rFonts w:cs="Times New Roman"/>
        </w:rPr>
        <w:t xml:space="preserve"> izrađena je Strateška studija utjecaja na okoliš Strategije niskougljičnog razvoja Republike Hrvatske do 2030. s pogledom na 2050. godinu te je u II. </w:t>
      </w:r>
      <w:r w:rsidR="0016799F" w:rsidRPr="00654E3B">
        <w:rPr>
          <w:rFonts w:cs="Times New Roman"/>
        </w:rPr>
        <w:t>kvartalu 2020. godine provedeno</w:t>
      </w:r>
      <w:r w:rsidRPr="00654E3B">
        <w:rPr>
          <w:rFonts w:cs="Times New Roman"/>
        </w:rPr>
        <w:t xml:space="preserve"> javno savjetovanje o oba dokumenta.</w:t>
      </w:r>
    </w:p>
    <w:p w:rsidR="007D4A93" w:rsidRPr="00654E3B" w:rsidRDefault="00EF0BEB" w:rsidP="009F6651">
      <w:pPr>
        <w:pStyle w:val="Heading3"/>
      </w:pPr>
      <w:bookmarkStart w:id="125" w:name="_Toc69810144"/>
      <w:r w:rsidRPr="00654E3B">
        <w:t>1.3.1. Vizije za 2050. godinu i prepoznate potrebe po sektorima</w:t>
      </w:r>
      <w:bookmarkEnd w:id="125"/>
    </w:p>
    <w:p w:rsidR="007D4A93" w:rsidRPr="00654E3B" w:rsidRDefault="007D4A93">
      <w:pPr>
        <w:keepNext/>
        <w:rPr>
          <w:rFonts w:cs="Times New Roman"/>
        </w:rPr>
      </w:pPr>
    </w:p>
    <w:p w:rsidR="007D4A93" w:rsidRPr="00654E3B" w:rsidRDefault="00EF0BEB">
      <w:pPr>
        <w:keepNext/>
        <w:rPr>
          <w:rFonts w:cs="Times New Roman"/>
        </w:rPr>
      </w:pPr>
      <w:r w:rsidRPr="00654E3B">
        <w:rPr>
          <w:rFonts w:cs="Times New Roman"/>
        </w:rPr>
        <w:t xml:space="preserve">Niskougljične sektorske vizije određuju smjer i cilj razvoja pojedinih sektora do 2050. godine. Vizije niskougljičnog razvoja određene su kroz proces konzultacija sa stručnom i zainteresiranom javnosti i one su navedene u tablici 1-1. Kroz proces konzultacija prepoznate su i </w:t>
      </w:r>
      <w:r w:rsidRPr="00654E3B">
        <w:rPr>
          <w:rFonts w:cs="Times New Roman"/>
          <w:bCs/>
        </w:rPr>
        <w:t xml:space="preserve">glavne potrebe pojedinih sektora za niskougljični razvoj i </w:t>
      </w:r>
      <w:r w:rsidRPr="00654E3B">
        <w:rPr>
          <w:rFonts w:cs="Times New Roman"/>
        </w:rPr>
        <w:t>one su navedene u tablici 1-2.</w:t>
      </w:r>
    </w:p>
    <w:p w:rsidR="007D4A93" w:rsidRPr="00654E3B" w:rsidRDefault="00EF0BEB">
      <w:pPr>
        <w:pStyle w:val="Tablicanaslov"/>
        <w:spacing w:after="120"/>
        <w:ind w:left="1416" w:hanging="1416"/>
        <w:rPr>
          <w:rFonts w:cs="Times New Roman"/>
          <w:i/>
          <w:sz w:val="22"/>
          <w:szCs w:val="22"/>
        </w:rPr>
      </w:pPr>
      <w:r w:rsidRPr="00654E3B">
        <w:rPr>
          <w:rFonts w:cs="Times New Roman"/>
          <w:i/>
          <w:sz w:val="22"/>
          <w:szCs w:val="22"/>
        </w:rPr>
        <w:t xml:space="preserve">Tablica 1-1: </w:t>
      </w:r>
      <w:r w:rsidRPr="00654E3B">
        <w:rPr>
          <w:rFonts w:cs="Times New Roman"/>
          <w:i/>
          <w:sz w:val="22"/>
          <w:szCs w:val="22"/>
        </w:rPr>
        <w:tab/>
        <w:t>Vizije niskougljičnog razvoja pojedinih sektora do 2050. godine (rezultat konzultacija sa dionicima i javnosti)</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1"/>
        <w:gridCol w:w="6979"/>
      </w:tblGrid>
      <w:tr w:rsidR="007D4A93" w:rsidRPr="00654E3B">
        <w:trPr>
          <w:trHeight w:val="397"/>
          <w:tblHeader/>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b/>
              </w:rPr>
              <w:t>SEKTOR</w:t>
            </w:r>
          </w:p>
        </w:tc>
        <w:tc>
          <w:tcPr>
            <w:tcW w:w="6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VIZIJA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Energetska postrojenja (proizvodnja, potrošnja, uvoz i izvoz energije), industrija i zgradarstvo</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pPr>
              <w:spacing w:after="60" w:line="240" w:lineRule="auto"/>
              <w:jc w:val="left"/>
              <w:rPr>
                <w:rFonts w:cs="Times New Roman"/>
                <w:iCs/>
              </w:rPr>
            </w:pPr>
            <w:r w:rsidRPr="00654E3B">
              <w:rPr>
                <w:rFonts w:cs="Times New Roman"/>
                <w:iCs/>
              </w:rPr>
              <w:t xml:space="preserve">U niskougljičnom društvu živjet ćemo i raditi u nisko energetskim zgradama male emisije, s pametnim sustavima grijanja i hlađenja, tj. u zgradama gotovo nulte energije ili zgradama koje imaju vrlo visoku energetsku učinkovitost.  </w:t>
            </w:r>
          </w:p>
          <w:p w:rsidR="007D4A93" w:rsidRPr="00654E3B" w:rsidRDefault="00EF0BEB">
            <w:pPr>
              <w:spacing w:after="60" w:line="240" w:lineRule="auto"/>
              <w:jc w:val="left"/>
              <w:rPr>
                <w:rFonts w:cs="Times New Roman"/>
              </w:rPr>
            </w:pPr>
            <w:r w:rsidRPr="00654E3B">
              <w:rPr>
                <w:rFonts w:cs="Times New Roman"/>
              </w:rPr>
              <w:t>Primjena energetske učinkovitosti, učinkovito korištenje resursa, primjena obnovljivih izvora energije, inovativnih i novih tehnoloških rješenja, uz očuvanje sigurnosti opskrbe energijom.</w:t>
            </w:r>
          </w:p>
          <w:p w:rsidR="007D4A93" w:rsidRPr="00654E3B" w:rsidRDefault="00EF0BEB">
            <w:pPr>
              <w:spacing w:after="60" w:line="240" w:lineRule="auto"/>
              <w:jc w:val="left"/>
              <w:rPr>
                <w:rFonts w:cs="Times New Roman"/>
              </w:rPr>
            </w:pPr>
            <w:r w:rsidRPr="00654E3B">
              <w:rPr>
                <w:rFonts w:cs="Times New Roman"/>
              </w:rPr>
              <w:t>Decentralizacija proizvodnje električne energije, potrošači energije će postati i proizvođači energije, korištenje naprednih mreža, pametnih sustava i spremišta energije omogućit će fleksibilnu potrošnju i snažnu integraciju obnovljivih izvora energije.</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Promet</w:t>
            </w:r>
          </w:p>
          <w:p w:rsidR="007D4A93" w:rsidRPr="00654E3B" w:rsidRDefault="007D4A93">
            <w:pPr>
              <w:spacing w:line="240" w:lineRule="auto"/>
              <w:jc w:val="left"/>
              <w:rPr>
                <w:rFonts w:cs="Times New Roman"/>
                <w:b/>
              </w:rPr>
            </w:pP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pPr>
              <w:spacing w:after="60" w:line="240" w:lineRule="auto"/>
              <w:jc w:val="left"/>
              <w:rPr>
                <w:rFonts w:cs="Times New Roman"/>
                <w:iCs/>
              </w:rPr>
            </w:pPr>
            <w:r w:rsidRPr="00654E3B">
              <w:rPr>
                <w:rFonts w:cs="Times New Roman"/>
                <w:iCs/>
              </w:rPr>
              <w:t>Vozit ćemo električna i hibridna vozila, koristiti alternativna niskougljična goriva i goriva neutralna za klimu.</w:t>
            </w:r>
          </w:p>
          <w:p w:rsidR="007D4A93" w:rsidRPr="00654E3B" w:rsidRDefault="00EF0BEB">
            <w:pPr>
              <w:spacing w:after="60" w:line="240" w:lineRule="auto"/>
              <w:jc w:val="left"/>
              <w:rPr>
                <w:rFonts w:cs="Times New Roman"/>
              </w:rPr>
            </w:pPr>
            <w:r w:rsidRPr="00654E3B">
              <w:rPr>
                <w:rFonts w:cs="Times New Roman"/>
                <w:iCs/>
              </w:rPr>
              <w:t>U gradovima ćemo, uz manje korištenje motornih vozila, unaprijediti kvalitetu života tako da za većinu gradskih putovanja automobili uopće neće biti potrebni.</w:t>
            </w:r>
          </w:p>
          <w:p w:rsidR="007D4A93" w:rsidRPr="00654E3B" w:rsidRDefault="00EF0BEB">
            <w:pPr>
              <w:spacing w:after="60" w:line="240" w:lineRule="auto"/>
              <w:jc w:val="left"/>
              <w:rPr>
                <w:rFonts w:cs="Times New Roman"/>
              </w:rPr>
            </w:pPr>
            <w:r w:rsidRPr="00654E3B">
              <w:rPr>
                <w:rFonts w:cs="Times New Roman"/>
              </w:rPr>
              <w:t>Kroz razvoj industrijskih grana u segmentu održivih tehnologija (električna vozila, punionice, željeznička infrastruktura)</w:t>
            </w:r>
            <w:r w:rsidR="00B34C1F" w:rsidRPr="00654E3B">
              <w:rPr>
                <w:rFonts w:cs="Times New Roman"/>
              </w:rPr>
              <w:t>,</w:t>
            </w:r>
            <w:r w:rsidRPr="00654E3B">
              <w:rPr>
                <w:rFonts w:cs="Times New Roman"/>
              </w:rPr>
              <w:t xml:space="preserve"> vozit ćemo se više u električnim, hibridnim vozilima, kao i vozilima s većim udjelom biogoriva što će značiti prijelaz na niskougljičnu mobilnost. Sve će više biti autonomnih vozila s pametnim punjenjem električnih baterija.</w:t>
            </w:r>
          </w:p>
          <w:p w:rsidR="007D4A93" w:rsidRPr="00654E3B" w:rsidRDefault="00EF0BEB">
            <w:pPr>
              <w:spacing w:after="60" w:line="240" w:lineRule="auto"/>
              <w:jc w:val="left"/>
              <w:rPr>
                <w:rFonts w:cs="Times New Roman"/>
              </w:rPr>
            </w:pPr>
            <w:r w:rsidRPr="00654E3B">
              <w:rPr>
                <w:rFonts w:cs="Times New Roman"/>
              </w:rPr>
              <w:t>Održivi prometni sustavi u većim naseljima, prioritetno niskougljičan javni gradski prijevoz, uže središte bez prometa, razvijen biciklistički promet, kvalitetnija goriva i nove tehnologije znatno će smanjiti utrošak energije i emisije stakleničkih plinova.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 xml:space="preserve">Poljoprivreda </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16799F">
            <w:pPr>
              <w:spacing w:after="60" w:line="240" w:lineRule="auto"/>
              <w:jc w:val="left"/>
              <w:rPr>
                <w:rFonts w:cs="Times New Roman"/>
              </w:rPr>
            </w:pPr>
            <w:r w:rsidRPr="00654E3B">
              <w:rPr>
                <w:rFonts w:cs="Times New Roman"/>
              </w:rPr>
              <w:t>Poljoprivreda će postati privlačnija za mlade</w:t>
            </w:r>
            <w:r w:rsidR="00EF0BEB" w:rsidRPr="00654E3B">
              <w:rPr>
                <w:rFonts w:cs="Times New Roman"/>
              </w:rPr>
              <w:t xml:space="preserve"> i obrazovan</w:t>
            </w:r>
            <w:r w:rsidRPr="00654E3B">
              <w:rPr>
                <w:rFonts w:cs="Times New Roman"/>
              </w:rPr>
              <w:t>e</w:t>
            </w:r>
            <w:r w:rsidR="00EF0BEB" w:rsidRPr="00654E3B">
              <w:rPr>
                <w:rFonts w:cs="Times New Roman"/>
              </w:rPr>
              <w:t xml:space="preserve"> poljoprivredni</w:t>
            </w:r>
            <w:r w:rsidRPr="00654E3B">
              <w:rPr>
                <w:rFonts w:cs="Times New Roman"/>
              </w:rPr>
              <w:t>ke</w:t>
            </w:r>
            <w:r w:rsidR="00F557A7" w:rsidRPr="00654E3B">
              <w:rPr>
                <w:rFonts w:cs="Times New Roman"/>
              </w:rPr>
              <w:t xml:space="preserve"> </w:t>
            </w:r>
            <w:r w:rsidR="00EF0BEB" w:rsidRPr="00654E3B">
              <w:rPr>
                <w:rFonts w:cs="Times New Roman"/>
              </w:rPr>
              <w:t xml:space="preserve">u obnovljenim selima, raznolikih kultura otpornih na klimatske promjene. </w:t>
            </w:r>
          </w:p>
          <w:p w:rsidR="007D4A93" w:rsidRPr="00654E3B" w:rsidRDefault="00EF0BEB">
            <w:pPr>
              <w:spacing w:after="60" w:line="240" w:lineRule="auto"/>
              <w:jc w:val="left"/>
              <w:rPr>
                <w:rFonts w:cs="Times New Roman"/>
              </w:rPr>
            </w:pPr>
            <w:r w:rsidRPr="00654E3B">
              <w:rPr>
                <w:rFonts w:cs="Times New Roman"/>
              </w:rPr>
              <w:t>Gospodarstva će biti ekonomski održiva i konkurentna, s uzgojem koji je orijentiran eko-proizvodnji i zelenom tržištu,</w:t>
            </w:r>
            <w:r w:rsidR="00336B59" w:rsidRPr="00654E3B">
              <w:rPr>
                <w:rFonts w:cs="Times New Roman"/>
              </w:rPr>
              <w:t xml:space="preserve"> uz</w:t>
            </w:r>
            <w:r w:rsidRPr="00654E3B">
              <w:rPr>
                <w:rFonts w:cs="Times New Roman"/>
              </w:rPr>
              <w:t xml:space="preserve"> </w:t>
            </w:r>
            <w:r w:rsidR="00336B59" w:rsidRPr="00654E3B">
              <w:rPr>
                <w:rFonts w:cs="Times New Roman"/>
              </w:rPr>
              <w:t xml:space="preserve">poštivanje </w:t>
            </w:r>
            <w:r w:rsidRPr="00654E3B">
              <w:rPr>
                <w:rFonts w:cs="Times New Roman"/>
              </w:rPr>
              <w:t xml:space="preserve">agrookolišnih </w:t>
            </w:r>
            <w:r w:rsidR="00336B59" w:rsidRPr="00654E3B">
              <w:rPr>
                <w:rFonts w:cs="Times New Roman"/>
              </w:rPr>
              <w:t xml:space="preserve">mjera </w:t>
            </w:r>
            <w:r w:rsidRPr="00654E3B">
              <w:rPr>
                <w:rFonts w:cs="Times New Roman"/>
              </w:rPr>
              <w:t xml:space="preserve">i </w:t>
            </w:r>
            <w:r w:rsidR="00336B59" w:rsidRPr="00654E3B">
              <w:rPr>
                <w:rFonts w:cs="Times New Roman"/>
              </w:rPr>
              <w:t xml:space="preserve">korištenja </w:t>
            </w:r>
            <w:r w:rsidRPr="00654E3B">
              <w:rPr>
                <w:rFonts w:cs="Times New Roman"/>
              </w:rPr>
              <w:t>agrošumarskih sustava.</w:t>
            </w:r>
          </w:p>
          <w:p w:rsidR="007D4A93" w:rsidRPr="00654E3B" w:rsidRDefault="00EF0BEB">
            <w:pPr>
              <w:spacing w:after="60" w:line="240" w:lineRule="auto"/>
              <w:jc w:val="left"/>
              <w:rPr>
                <w:rFonts w:cs="Times New Roman"/>
              </w:rPr>
            </w:pPr>
            <w:r w:rsidRPr="00654E3B">
              <w:rPr>
                <w:rFonts w:cs="Times New Roman"/>
              </w:rPr>
              <w:t>Ruralna područja i gospodarstva će biti energetski gotovo neutralna i resursno učinkovita.</w:t>
            </w:r>
          </w:p>
          <w:p w:rsidR="007D4A93" w:rsidRPr="00654E3B" w:rsidRDefault="00EF0BEB">
            <w:pPr>
              <w:spacing w:after="60" w:line="240" w:lineRule="auto"/>
              <w:jc w:val="left"/>
              <w:rPr>
                <w:rFonts w:cs="Times New Roman"/>
              </w:rPr>
            </w:pPr>
            <w:r w:rsidRPr="00654E3B">
              <w:rPr>
                <w:rFonts w:cs="Times New Roman"/>
              </w:rPr>
              <w:t xml:space="preserve">Proizvodit će se biomasa za goriva bez ugrožavanja proizvodnje hrane, pri čemu će proaktivno doprinositi smanjenu emisije stakleničkih plinova s neznatnim utjecajima na okoliš. </w:t>
            </w:r>
          </w:p>
          <w:p w:rsidR="007D4A93" w:rsidRPr="00654E3B" w:rsidRDefault="00EF0BEB">
            <w:pPr>
              <w:spacing w:after="60" w:line="240" w:lineRule="auto"/>
              <w:jc w:val="left"/>
              <w:rPr>
                <w:rFonts w:cs="Times New Roman"/>
              </w:rPr>
            </w:pPr>
            <w:r w:rsidRPr="00654E3B">
              <w:rPr>
                <w:rFonts w:cs="Times New Roman"/>
              </w:rPr>
              <w:lastRenderedPageBreak/>
              <w:t>Poljoprivreda s punom primjenom dobre poljoprivredne prakse.</w:t>
            </w:r>
          </w:p>
          <w:p w:rsidR="007D4A93" w:rsidRPr="00654E3B" w:rsidRDefault="00EF0BEB">
            <w:pPr>
              <w:spacing w:after="60" w:line="240" w:lineRule="auto"/>
              <w:jc w:val="left"/>
              <w:rPr>
                <w:rFonts w:cs="Times New Roman"/>
              </w:rPr>
            </w:pPr>
            <w:r w:rsidRPr="00654E3B">
              <w:rPr>
                <w:rFonts w:cs="Times New Roman"/>
              </w:rPr>
              <w:t>Gospodarenje poljoprivrednim površinama i gospodarenje pašnjacima provodi se na načine koji osiguravaju nisku emisiju ugljikova dioksida.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lastRenderedPageBreak/>
              <w:t>Korištenje zemljišta, prenamjene u korištenju zemljišta i šumarstvo (LULUCF)</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pPr>
              <w:spacing w:after="60" w:line="240" w:lineRule="auto"/>
              <w:jc w:val="left"/>
              <w:rPr>
                <w:rFonts w:cs="Times New Roman"/>
              </w:rPr>
            </w:pPr>
            <w:r w:rsidRPr="00654E3B">
              <w:rPr>
                <w:rFonts w:cs="Times New Roman"/>
              </w:rPr>
              <w:t xml:space="preserve">Korištenje zemljišta, prenamjene korištenja zemljišta i šumarstvo treba biti takvo da trajno predstavlja </w:t>
            </w:r>
            <w:r w:rsidR="0016799F" w:rsidRPr="00654E3B">
              <w:rPr>
                <w:rFonts w:cs="Times New Roman"/>
              </w:rPr>
              <w:t>ponor</w:t>
            </w:r>
            <w:r w:rsidRPr="00654E3B">
              <w:rPr>
                <w:rFonts w:cs="Times New Roman"/>
              </w:rPr>
              <w:t xml:space="preserve"> za CO</w:t>
            </w:r>
            <w:r w:rsidRPr="00654E3B">
              <w:rPr>
                <w:rFonts w:cs="Times New Roman"/>
                <w:vertAlign w:val="subscript"/>
              </w:rPr>
              <w:t xml:space="preserve">2 </w:t>
            </w:r>
          </w:p>
          <w:p w:rsidR="007D4A93" w:rsidRPr="00654E3B" w:rsidRDefault="00EF0BEB">
            <w:pPr>
              <w:spacing w:after="60" w:line="240" w:lineRule="auto"/>
              <w:jc w:val="left"/>
              <w:rPr>
                <w:rFonts w:cs="Times New Roman"/>
              </w:rPr>
            </w:pPr>
            <w:r w:rsidRPr="00654E3B">
              <w:rPr>
                <w:rFonts w:cs="Times New Roman"/>
              </w:rPr>
              <w:t xml:space="preserve">Šumarstvo će nastaviti s tradicijom potrajnog gospodarenja šumom. </w:t>
            </w:r>
          </w:p>
          <w:p w:rsidR="007D4A93" w:rsidRPr="00654E3B" w:rsidRDefault="00EF0BEB">
            <w:pPr>
              <w:jc w:val="left"/>
              <w:rPr>
                <w:rFonts w:cs="Times New Roman"/>
              </w:rPr>
            </w:pPr>
            <w:r w:rsidRPr="00654E3B">
              <w:rPr>
                <w:rFonts w:cs="Times New Roman"/>
              </w:rPr>
              <w:t>Na pojedinim površinama šuma povećati će se prirast putem šumskouzgojnih radova (konverzijama)</w:t>
            </w:r>
            <w:r w:rsidR="00B40652" w:rsidRPr="00654E3B">
              <w:rPr>
                <w:rFonts w:cs="Times New Roman"/>
              </w:rPr>
              <w:t>, prevođenjem šuma niskog uzgojnog oblika u viši uzgojni oblik</w:t>
            </w:r>
            <w:r w:rsidRPr="00654E3B">
              <w:rPr>
                <w:rFonts w:cs="Times New Roman"/>
              </w:rPr>
              <w:t xml:space="preserve">, čime se povećava kapacitet </w:t>
            </w:r>
            <w:r w:rsidR="00BF4CA8" w:rsidRPr="00654E3B">
              <w:rPr>
                <w:rFonts w:cs="Times New Roman"/>
              </w:rPr>
              <w:t>ponora</w:t>
            </w:r>
            <w:r w:rsidRPr="00654E3B">
              <w:rPr>
                <w:rFonts w:cs="Times New Roman"/>
              </w:rPr>
              <w:t xml:space="preserve"> ugljika u šumskoj biomasi. Na pojedinom neobraslom šumskom zemljištu podizati će se nove šumske sastojine. Ostaci drvne biomase iz šuma i drvne proizvodnje iskoristiti će se na ekološki i ekonomski održiv način.</w:t>
            </w:r>
          </w:p>
          <w:p w:rsidR="007D4A93" w:rsidRPr="00654E3B" w:rsidRDefault="00EF0BEB">
            <w:pPr>
              <w:spacing w:after="60" w:line="240" w:lineRule="auto"/>
              <w:jc w:val="left"/>
              <w:rPr>
                <w:rFonts w:cs="Times New Roman"/>
              </w:rPr>
            </w:pPr>
            <w:r w:rsidRPr="00654E3B">
              <w:rPr>
                <w:rFonts w:cs="Times New Roman"/>
              </w:rPr>
              <w:t>Zalihe ugljika u šumskoj biomasi (drvnoj biomasi, tlu, listincu i mrtvom drvu)</w:t>
            </w:r>
            <w:r w:rsidR="00B34C1F" w:rsidRPr="00654E3B">
              <w:rPr>
                <w:rFonts w:cs="Times New Roman"/>
              </w:rPr>
              <w:t>,</w:t>
            </w:r>
            <w:r w:rsidRPr="00654E3B">
              <w:rPr>
                <w:rFonts w:cs="Times New Roman"/>
              </w:rPr>
              <w:t xml:space="preserve"> povećavat će se kako bi sektor korištenja zemljišta i šumarstvo bio trajni ponor za stakleničke plinove. </w:t>
            </w:r>
          </w:p>
          <w:p w:rsidR="007D4A93" w:rsidRPr="00654E3B" w:rsidRDefault="00EF0BEB">
            <w:pPr>
              <w:spacing w:after="60" w:line="240" w:lineRule="auto"/>
              <w:jc w:val="left"/>
              <w:rPr>
                <w:rFonts w:cs="Times New Roman"/>
              </w:rPr>
            </w:pPr>
            <w:r w:rsidRPr="00654E3B">
              <w:rPr>
                <w:rFonts w:cs="Times New Roman"/>
              </w:rPr>
              <w:t xml:space="preserve">Drvni proizvodi su spremište ugljika, s emisijom koja se odlaže na dulje vrijeme, ovisno o vrsti proizvoda. Poticat će se korištenje drvnih proizvoda u tradicionalnim i novim proizvodima. Šumarstvo će raspolagati visokim stupnjem informacija o stanju šuma, inventaru, ugroženosti i projekcijama trendova. </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Otpad</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pPr>
              <w:spacing w:after="60" w:line="240" w:lineRule="auto"/>
              <w:jc w:val="left"/>
              <w:rPr>
                <w:rFonts w:cs="Times New Roman"/>
              </w:rPr>
            </w:pPr>
            <w:r w:rsidRPr="00654E3B">
              <w:rPr>
                <w:rFonts w:cs="Times New Roman"/>
              </w:rPr>
              <w:t xml:space="preserve">Sprječavanjem nastajanja otpada, odvojenim prikupljanjem, recikliranjem i oporabom otpada, količina otpada za odlaganje svest će se na minimum. </w:t>
            </w:r>
          </w:p>
          <w:p w:rsidR="007D4A93" w:rsidRPr="00654E3B" w:rsidRDefault="00EF0BEB">
            <w:pPr>
              <w:spacing w:after="60" w:line="240" w:lineRule="auto"/>
              <w:jc w:val="left"/>
              <w:rPr>
                <w:rFonts w:cs="Times New Roman"/>
              </w:rPr>
            </w:pPr>
            <w:r w:rsidRPr="00654E3B">
              <w:rPr>
                <w:rFonts w:cs="Times New Roman"/>
              </w:rPr>
              <w:t xml:space="preserve">Sva odlagališta biti će sanirana, a centri za gospodarenje otpadom koristiti će napredne tehnologije kojima se, osim za dobivanje sirovina za materijalnu oporabu, otpad kemijski reciklira čime se dobivaju različiti kemijski spojevi koji se mogu koristiti u industrijskoj proizvodnji (etilen, amonijak i sl.) kao i različita goriva (vodik, sintetski plin, tekuća goriva). </w:t>
            </w:r>
          </w:p>
          <w:p w:rsidR="007D4A93" w:rsidRPr="00654E3B" w:rsidRDefault="00EF0BEB">
            <w:pPr>
              <w:spacing w:after="60" w:line="240" w:lineRule="auto"/>
              <w:jc w:val="left"/>
              <w:rPr>
                <w:rFonts w:cs="Times New Roman"/>
              </w:rPr>
            </w:pPr>
            <w:r w:rsidRPr="00654E3B">
              <w:rPr>
                <w:rFonts w:cs="Times New Roman"/>
              </w:rPr>
              <w:t xml:space="preserve">Uspostava sustava gospodarenja otpadom sukladno načelima kružnog gospodarstva doprinijet će resursnoj učinkovitosti s manjim negativnim utjecajem na ljude i okoliš. Kružnim gospodarstvom će se vrijednost proizvoda, materijala i resursa što je dulje moguće zadržavati u gospodarstvu. Poticat će se korištenje proizvodnih procesa koji troše manje materijala i energenata, koriste resurse bez otpada i uključuju potpuno recikliranje na kraju životnog vijeka proizvoda. Projektiranje, gradnja i obnova zgrada provodit će se prema načelima kružnog gospodarenja prostorom i zgradama uz usklađeno korištenje resursa s potrebama i funkcionalnošću zgrada. Održivo gospodarenje resursima i produžavanje životnog vijeka materijala i proizvoda glavna je odrednica s prelaska s postojećeg linearnog na održivo i konkurentno kružno gospodarstvo s niskim emisijama ugljika.  </w:t>
            </w:r>
          </w:p>
        </w:tc>
      </w:tr>
    </w:tbl>
    <w:p w:rsidR="007D4A93" w:rsidRPr="00654E3B" w:rsidRDefault="00EF0BEB">
      <w:pPr>
        <w:pStyle w:val="Tablicanaslov"/>
        <w:spacing w:before="120" w:after="120"/>
        <w:ind w:left="1418" w:hanging="1418"/>
        <w:rPr>
          <w:rFonts w:cs="Times New Roman"/>
          <w:i/>
          <w:sz w:val="22"/>
          <w:szCs w:val="22"/>
        </w:rPr>
      </w:pPr>
      <w:r w:rsidRPr="00654E3B">
        <w:rPr>
          <w:rFonts w:cs="Times New Roman"/>
          <w:i/>
          <w:sz w:val="22"/>
          <w:szCs w:val="22"/>
        </w:rPr>
        <w:t xml:space="preserve">Tablica 1-2: </w:t>
      </w:r>
      <w:r w:rsidRPr="00654E3B">
        <w:rPr>
          <w:rFonts w:cs="Times New Roman"/>
          <w:i/>
          <w:sz w:val="22"/>
          <w:szCs w:val="22"/>
        </w:rPr>
        <w:tab/>
        <w:t xml:space="preserve">Potrebe pojedinih sektora za niskougljični razvoj (rezultat konzultacija sa dionicima i javnosti)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1"/>
        <w:gridCol w:w="6979"/>
      </w:tblGrid>
      <w:tr w:rsidR="007D4A93" w:rsidRPr="00654E3B">
        <w:trPr>
          <w:trHeight w:val="397"/>
          <w:tblHeader/>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b/>
              </w:rPr>
              <w:t>SEKTOR</w:t>
            </w:r>
          </w:p>
        </w:tc>
        <w:tc>
          <w:tcPr>
            <w:tcW w:w="6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POTREBA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Energetska postrojenja (proizvodnja, potrošnja, uvoz i izvoz energije), industrija i zgradarstvo</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 xml:space="preserve">energetska neovisnost i održivost </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razvoj industrije energetske opreme i postrojenja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razvoj industrije vozila i opreme za infrastrukturu</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 xml:space="preserve">primjena novih tehnologija (upravljanje potrošnjom, tehnologije za hvatanje i skladištenje ugljikova dioksida, novi obnovljivi izvori, </w:t>
            </w:r>
            <w:r w:rsidRPr="00654E3B">
              <w:rPr>
                <w:rFonts w:cs="Times New Roman"/>
                <w:lang w:eastAsia="hr-HR"/>
              </w:rPr>
              <w:lastRenderedPageBreak/>
              <w:t>tehnologija za kemijsko recikliranje otpada i korištenje energenata dobivenih iz otpada)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razvoj prijenosne mreže za priključak novih proizvodnih kapaciteta (pretežito OIE)</w:t>
            </w:r>
            <w:r w:rsidR="00B34C1F" w:rsidRPr="00654E3B">
              <w:rPr>
                <w:rFonts w:cs="Times New Roman"/>
                <w:lang w:eastAsia="hr-HR"/>
              </w:rPr>
              <w:t>,</w:t>
            </w:r>
            <w:r w:rsidRPr="00654E3B">
              <w:rPr>
                <w:rFonts w:cs="Times New Roman"/>
                <w:lang w:eastAsia="hr-HR"/>
              </w:rPr>
              <w:t xml:space="preserve"> nužnih za energetsku samodostatnost, prihvat i prijenos električne energije proizvedene u OIE i osiguranje sigurnosti opskrbe i EES-a uz visoki udio OIE  </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napredne mreže za otkup energije proizvedene iz obnovljivih izvora i za sigurnost opreme</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jasna strategija razvoja i akcijski planovi</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modernizacija i transformacija rafinerija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ulaganje u nove djelatnosti</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ulaganje u istraživanje i razvoj domaćih nalazišta nafte i plina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energetska obnova postojećeg nacionalnog fonda zgrada</w:t>
            </w:r>
          </w:p>
          <w:p w:rsidR="007D4A93" w:rsidRPr="00654E3B" w:rsidRDefault="00EF0BEB" w:rsidP="000C6795">
            <w:pPr>
              <w:pStyle w:val="ListParagraph"/>
              <w:keepNext/>
              <w:numPr>
                <w:ilvl w:val="0"/>
                <w:numId w:val="9"/>
              </w:numPr>
              <w:spacing w:line="240" w:lineRule="auto"/>
              <w:ind w:left="397" w:hanging="227"/>
              <w:jc w:val="left"/>
              <w:rPr>
                <w:rFonts w:cs="Times New Roman"/>
                <w:lang w:eastAsia="hr-HR"/>
              </w:rPr>
            </w:pPr>
            <w:r w:rsidRPr="00654E3B">
              <w:rPr>
                <w:rFonts w:cs="Times New Roman"/>
                <w:lang w:eastAsia="hr-HR"/>
              </w:rPr>
              <w:t xml:space="preserve">gradnja </w:t>
            </w:r>
            <w:r w:rsidR="00365078" w:rsidRPr="00654E3B">
              <w:rPr>
                <w:rFonts w:cs="Times New Roman"/>
                <w:lang w:eastAsia="hr-HR"/>
              </w:rPr>
              <w:t>zgrada gotovo nulte energije</w:t>
            </w:r>
          </w:p>
          <w:p w:rsidR="007D4A93" w:rsidRPr="00654E3B" w:rsidRDefault="00EF0BEB" w:rsidP="000C6795">
            <w:pPr>
              <w:pStyle w:val="ListParagraph"/>
              <w:keepNext/>
              <w:numPr>
                <w:ilvl w:val="0"/>
                <w:numId w:val="9"/>
              </w:numPr>
              <w:spacing w:after="60" w:line="240" w:lineRule="auto"/>
              <w:ind w:left="397" w:hanging="227"/>
              <w:jc w:val="left"/>
              <w:rPr>
                <w:rFonts w:cs="Times New Roman"/>
                <w:lang w:eastAsia="hr-HR"/>
              </w:rPr>
            </w:pPr>
            <w:r w:rsidRPr="00654E3B">
              <w:rPr>
                <w:rFonts w:cs="Times New Roman"/>
                <w:lang w:eastAsia="hr-HR"/>
              </w:rPr>
              <w:t>podignuta društvena svijest o proizvodnji energije u zgradama</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lastRenderedPageBreak/>
              <w:t>Promet</w:t>
            </w:r>
          </w:p>
          <w:p w:rsidR="007D4A93" w:rsidRPr="00654E3B" w:rsidRDefault="007D4A93">
            <w:pPr>
              <w:spacing w:line="240" w:lineRule="auto"/>
              <w:jc w:val="left"/>
              <w:rPr>
                <w:rFonts w:cs="Times New Roman"/>
                <w:b/>
              </w:rPr>
            </w:pP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niskougljični promet (udio prijevoznih sredstava u sektoru transporta roba (kamioni, brodovi, vlakovi) i javnog prijevoza (autobusi, tramvaji, prigradska željeznica)</w:t>
            </w:r>
            <w:r w:rsidR="00B34C1F" w:rsidRPr="00654E3B">
              <w:rPr>
                <w:rFonts w:cs="Times New Roman"/>
                <w:lang w:eastAsia="hr-HR"/>
              </w:rPr>
              <w:t>,</w:t>
            </w:r>
            <w:r w:rsidRPr="00654E3B">
              <w:rPr>
                <w:rFonts w:cs="Times New Roman"/>
                <w:lang w:eastAsia="hr-HR"/>
              </w:rPr>
              <w:t xml:space="preserve"> koji kao gorivo koriste vodikove ćelije, rasti će eksponencijalno</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visoka razina javne svijesti o javnom prijevozu te čišćim oblicima prijevoza</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 xml:space="preserve">razvijen željeznički i riječni promet </w:t>
            </w:r>
          </w:p>
          <w:p w:rsidR="007D4A93" w:rsidRPr="00654E3B" w:rsidRDefault="00EF0BEB" w:rsidP="000C6795">
            <w:pPr>
              <w:pStyle w:val="ListParagraph"/>
              <w:numPr>
                <w:ilvl w:val="0"/>
                <w:numId w:val="9"/>
              </w:numPr>
              <w:spacing w:line="240" w:lineRule="auto"/>
              <w:ind w:left="397" w:hanging="227"/>
              <w:jc w:val="left"/>
              <w:rPr>
                <w:rFonts w:cs="Times New Roman"/>
              </w:rPr>
            </w:pPr>
            <w:r w:rsidRPr="00654E3B">
              <w:rPr>
                <w:rFonts w:cs="Times New Roman"/>
                <w:lang w:eastAsia="hr-HR"/>
              </w:rPr>
              <w:t xml:space="preserve">poticaji za vozila na osnovi manje potrošnje fosilnih goriva </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 xml:space="preserve">Poljoprivreda </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održivo gospodarenje poljoprivrednim područjima</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 xml:space="preserve">održiva i ekološka proizvodnja </w:t>
            </w:r>
          </w:p>
          <w:p w:rsidR="007D4A93" w:rsidRPr="00654E3B" w:rsidRDefault="00B75C13" w:rsidP="00D76967">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upotreba mineralnog gnojiva u skladu s uvjetima dobre poljoprivredne prakse</w:t>
            </w:r>
            <w:r w:rsidR="00D76967" w:rsidRPr="00654E3B">
              <w:rPr>
                <w:rFonts w:cs="Times New Roman"/>
                <w:lang w:eastAsia="hr-HR"/>
              </w:rPr>
              <w:t xml:space="preserve">, </w:t>
            </w:r>
            <w:r w:rsidRPr="00654E3B">
              <w:rPr>
                <w:rFonts w:cs="Times New Roman"/>
                <w:lang w:eastAsia="hr-HR"/>
              </w:rPr>
              <w:t>adekvatno zbrinjavanje organskog gnojiva i proizvodnja bioplina, unaprijeđen sustav gospodarenja stajskim gnojivom</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integralni pristup razvoju poljoprivrede</w:t>
            </w:r>
          </w:p>
          <w:p w:rsidR="007D4A93" w:rsidRPr="00654E3B" w:rsidRDefault="00EF0BEB" w:rsidP="000C6795">
            <w:pPr>
              <w:pStyle w:val="ListParagraph"/>
              <w:numPr>
                <w:ilvl w:val="0"/>
                <w:numId w:val="9"/>
              </w:numPr>
              <w:spacing w:after="60" w:line="240" w:lineRule="auto"/>
              <w:ind w:left="397" w:hanging="227"/>
              <w:jc w:val="left"/>
              <w:rPr>
                <w:rFonts w:cs="Times New Roman"/>
              </w:rPr>
            </w:pPr>
            <w:r w:rsidRPr="00654E3B">
              <w:rPr>
                <w:rFonts w:cs="Times New Roman"/>
                <w:lang w:eastAsia="hr-HR"/>
              </w:rPr>
              <w:t>samoodrživost u proizvodnji hrane</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Korištenje zemljišta, prenamjene u korištenju zemljišta i šumarstvo</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numPr>
                <w:ilvl w:val="0"/>
                <w:numId w:val="9"/>
              </w:numPr>
              <w:ind w:left="397" w:hanging="227"/>
              <w:jc w:val="left"/>
              <w:rPr>
                <w:rFonts w:cs="Times New Roman"/>
                <w:lang w:eastAsia="hr-HR"/>
              </w:rPr>
            </w:pPr>
            <w:r w:rsidRPr="00654E3B">
              <w:rPr>
                <w:rFonts w:cs="Times New Roman"/>
                <w:lang w:eastAsia="hr-HR"/>
              </w:rPr>
              <w:t>u prenamjenama zemljišta vodit će se računa da svaka prenamjena zemljišta ima odraza na promjene u emisijama/</w:t>
            </w:r>
            <w:r w:rsidR="00BF4CA8" w:rsidRPr="00654E3B">
              <w:rPr>
                <w:rFonts w:cs="Times New Roman"/>
                <w:lang w:eastAsia="hr-HR"/>
              </w:rPr>
              <w:t>ponorima</w:t>
            </w:r>
            <w:r w:rsidRPr="00654E3B">
              <w:rPr>
                <w:rFonts w:cs="Times New Roman"/>
                <w:lang w:eastAsia="hr-HR"/>
              </w:rPr>
              <w:t xml:space="preserve"> stakleničkih plinova </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 xml:space="preserve">mjere koje potiču povećanje količine ugljika u tlu, </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povećanje vrijednosti šuma, održati ili poboljšati postojeći fond šumskog zemljišta</w:t>
            </w:r>
          </w:p>
          <w:p w:rsidR="007D4A93" w:rsidRPr="00654E3B" w:rsidRDefault="00EF0BEB" w:rsidP="000C6795">
            <w:pPr>
              <w:pStyle w:val="ListParagraph"/>
              <w:numPr>
                <w:ilvl w:val="0"/>
                <w:numId w:val="9"/>
              </w:numPr>
              <w:spacing w:after="60" w:line="240" w:lineRule="auto"/>
              <w:ind w:left="397" w:hanging="227"/>
              <w:jc w:val="left"/>
              <w:rPr>
                <w:rFonts w:cs="Times New Roman"/>
              </w:rPr>
            </w:pPr>
            <w:r w:rsidRPr="00654E3B">
              <w:rPr>
                <w:rFonts w:cs="Times New Roman"/>
              </w:rPr>
              <w:t xml:space="preserve">provedba pošumljavanja neobraslog proizvodnog šumskog zemljišta prema šumskogospodarskim planovima </w:t>
            </w:r>
          </w:p>
        </w:tc>
      </w:tr>
      <w:tr w:rsidR="007D4A93" w:rsidRPr="00654E3B">
        <w:trPr>
          <w:trHeight w:val="397"/>
        </w:trPr>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D4A93" w:rsidRPr="00654E3B" w:rsidRDefault="00EF0BEB">
            <w:pPr>
              <w:spacing w:line="240" w:lineRule="auto"/>
              <w:jc w:val="left"/>
              <w:rPr>
                <w:rFonts w:cs="Times New Roman"/>
                <w:b/>
              </w:rPr>
            </w:pPr>
            <w:r w:rsidRPr="00654E3B">
              <w:rPr>
                <w:rFonts w:cs="Times New Roman"/>
                <w:b/>
              </w:rPr>
              <w:t>Otpad</w:t>
            </w:r>
          </w:p>
        </w:tc>
        <w:tc>
          <w:tcPr>
            <w:tcW w:w="6979" w:type="dxa"/>
            <w:tcBorders>
              <w:top w:val="single" w:sz="4" w:space="0" w:color="auto"/>
              <w:left w:val="single" w:sz="4" w:space="0" w:color="auto"/>
              <w:bottom w:val="single" w:sz="4" w:space="0" w:color="auto"/>
              <w:right w:val="single" w:sz="4" w:space="0" w:color="auto"/>
            </w:tcBorders>
          </w:tcPr>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smanjenje (izbjegavanje) nastajanja otpada</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uspostavljen sustav gospodarenja otpadom</w:t>
            </w:r>
          </w:p>
          <w:p w:rsidR="007D4A93" w:rsidRPr="00654E3B" w:rsidRDefault="00EF0BEB" w:rsidP="000C6795">
            <w:pPr>
              <w:pStyle w:val="ListParagraph"/>
              <w:numPr>
                <w:ilvl w:val="0"/>
                <w:numId w:val="9"/>
              </w:numPr>
              <w:spacing w:line="240" w:lineRule="auto"/>
              <w:ind w:left="397" w:hanging="227"/>
              <w:jc w:val="left"/>
              <w:rPr>
                <w:rFonts w:cs="Times New Roman"/>
                <w:lang w:eastAsia="hr-HR"/>
              </w:rPr>
            </w:pPr>
            <w:r w:rsidRPr="00654E3B">
              <w:rPr>
                <w:rFonts w:cs="Times New Roman"/>
                <w:lang w:eastAsia="hr-HR"/>
              </w:rPr>
              <w:t>sanirana odlagališta otpada</w:t>
            </w:r>
          </w:p>
          <w:p w:rsidR="007D4A93" w:rsidRPr="00654E3B" w:rsidRDefault="00EF0BEB" w:rsidP="000C6795">
            <w:pPr>
              <w:pStyle w:val="ListParagraph"/>
              <w:numPr>
                <w:ilvl w:val="0"/>
                <w:numId w:val="9"/>
              </w:numPr>
              <w:spacing w:after="60" w:line="240" w:lineRule="auto"/>
              <w:ind w:left="397" w:hanging="227"/>
              <w:jc w:val="left"/>
              <w:rPr>
                <w:rFonts w:cs="Times New Roman"/>
              </w:rPr>
            </w:pPr>
            <w:r w:rsidRPr="00654E3B">
              <w:rPr>
                <w:rFonts w:cs="Times New Roman"/>
                <w:lang w:eastAsia="hr-HR"/>
              </w:rPr>
              <w:t>potpuna oporaba otpada koja uključuje sve stupnjeve u hijerarhiji gospodarenja otpadom i korištenje tehnologija koje imaju za cilj minimiziranje njegovog odlaganja</w:t>
            </w:r>
          </w:p>
        </w:tc>
      </w:tr>
    </w:tbl>
    <w:p w:rsidR="007D4A93" w:rsidRPr="00654E3B" w:rsidRDefault="00EF0BEB">
      <w:pPr>
        <w:pStyle w:val="Heading2"/>
        <w:rPr>
          <w:rFonts w:ascii="Times New Roman" w:hAnsi="Times New Roman" w:cs="Times New Roman"/>
        </w:rPr>
      </w:pPr>
      <w:bookmarkStart w:id="126" w:name="_Toc20841286"/>
      <w:bookmarkStart w:id="127" w:name="_Toc20841392"/>
      <w:bookmarkStart w:id="128" w:name="_Toc69810145"/>
      <w:r w:rsidRPr="00654E3B">
        <w:rPr>
          <w:rFonts w:ascii="Times New Roman" w:hAnsi="Times New Roman" w:cs="Times New Roman"/>
        </w:rPr>
        <w:t>1.4.</w:t>
      </w:r>
      <w:r w:rsidRPr="00654E3B">
        <w:rPr>
          <w:rFonts w:ascii="Times New Roman" w:hAnsi="Times New Roman" w:cs="Times New Roman"/>
        </w:rPr>
        <w:tab/>
        <w:t>METODOLOŠKI PRISTUP</w:t>
      </w:r>
      <w:bookmarkEnd w:id="126"/>
      <w:bookmarkEnd w:id="127"/>
      <w:bookmarkEnd w:id="128"/>
    </w:p>
    <w:p w:rsidR="007D4A93" w:rsidRPr="00654E3B" w:rsidRDefault="007D4A93">
      <w:pPr>
        <w:keepNext/>
        <w:rPr>
          <w:rFonts w:cs="Times New Roman"/>
        </w:rPr>
      </w:pPr>
    </w:p>
    <w:p w:rsidR="007D4A93" w:rsidRPr="00654E3B" w:rsidRDefault="00EF0BEB">
      <w:pPr>
        <w:keepNext/>
        <w:spacing w:line="240" w:lineRule="auto"/>
        <w:rPr>
          <w:rFonts w:cs="Times New Roman"/>
        </w:rPr>
      </w:pPr>
      <w:r w:rsidRPr="00654E3B">
        <w:rPr>
          <w:rFonts w:cs="Times New Roman"/>
        </w:rPr>
        <w:t xml:space="preserve">U izradi Niskougljične strategije analiziran je niz scenarija, primijenjeni su mnogobrojni modeli za simulacije i optimiranje, a razvijen je i integralni model za nacionalne projekcije stakleničkih plinova NUSPCRO (Niskougljično strateško planiranje Republike Hrvatske). Dodatna vrijednost je što NUSPCRO omogućava i planiranje scenarija za ostale onečišćujuće tvari, tako se usklađivanje ciljeva </w:t>
      </w:r>
      <w:r w:rsidRPr="00654E3B">
        <w:rPr>
          <w:rFonts w:cs="Times New Roman"/>
        </w:rPr>
        <w:lastRenderedPageBreak/>
        <w:t xml:space="preserve">po obvezama UNFCCC-a i Konvencije o dalekosežnom prekograničnom onečišćenju zraka (LRTAP) može provoditi istovremeno. </w:t>
      </w:r>
    </w:p>
    <w:p w:rsidR="007D4A93" w:rsidRPr="00654E3B" w:rsidRDefault="00EF0BEB">
      <w:pPr>
        <w:rPr>
          <w:rFonts w:cs="Times New Roman"/>
        </w:rPr>
      </w:pPr>
      <w:r w:rsidRPr="00654E3B">
        <w:rPr>
          <w:rFonts w:cs="Times New Roman"/>
        </w:rPr>
        <w:t xml:space="preserve">Emisije i </w:t>
      </w:r>
      <w:r w:rsidR="00CC6349" w:rsidRPr="00654E3B">
        <w:rPr>
          <w:rFonts w:cs="Times New Roman"/>
        </w:rPr>
        <w:t>ponori</w:t>
      </w:r>
      <w:r w:rsidRPr="00654E3B">
        <w:rPr>
          <w:rFonts w:cs="Times New Roman"/>
        </w:rPr>
        <w:t xml:space="preserve"> stakleničkih plinova i projekcije iskazane u ovom dokumentu u skladu su s metodologijom iz </w:t>
      </w:r>
      <w:r w:rsidR="00907BA1" w:rsidRPr="00654E3B">
        <w:rPr>
          <w:rFonts w:cs="Times New Roman"/>
        </w:rPr>
        <w:t>smjernica</w:t>
      </w:r>
      <w:r w:rsidRPr="00654E3B">
        <w:rPr>
          <w:rFonts w:cs="Times New Roman"/>
        </w:rPr>
        <w:t xml:space="preserve"> Međuvladinog panela za klimatske promjene iz 2006. godine (IPCC 2006) i odgovarajućih faktora stakleničkog potencijala za izračun ekvivalenata emisija CO</w:t>
      </w:r>
      <w:r w:rsidRPr="00654E3B">
        <w:rPr>
          <w:rFonts w:cs="Times New Roman"/>
          <w:vertAlign w:val="subscript"/>
        </w:rPr>
        <w:t>2</w:t>
      </w:r>
      <w:r w:rsidRPr="00654E3B">
        <w:rPr>
          <w:rFonts w:cs="Times New Roman"/>
        </w:rPr>
        <w:t>. U skladu s ovom metodologijom promatra se samo emisija do koje je došlo na teritoriju države te emisija iz goriva koje je ukrcano na teritoriju države kad se radi o prometu. Staklenički potencijal (promatrano u 100 godina)</w:t>
      </w:r>
      <w:r w:rsidR="00B34C1F" w:rsidRPr="00654E3B">
        <w:rPr>
          <w:rFonts w:cs="Times New Roman"/>
        </w:rPr>
        <w:t>,</w:t>
      </w:r>
      <w:r w:rsidRPr="00654E3B">
        <w:rPr>
          <w:rFonts w:cs="Times New Roman"/>
        </w:rPr>
        <w:t xml:space="preserve"> s kojim se izračunava ekvivalentna količina CO</w:t>
      </w:r>
      <w:r w:rsidRPr="00654E3B">
        <w:rPr>
          <w:rFonts w:cs="Times New Roman"/>
          <w:vertAlign w:val="subscript"/>
        </w:rPr>
        <w:t>2</w:t>
      </w:r>
      <w:r w:rsidRPr="00654E3B">
        <w:rPr>
          <w:rFonts w:cs="Times New Roman"/>
        </w:rPr>
        <w:t xml:space="preserve"> za glavne stakleničke plinove je slijedeći: ugljikov dioksid CO</w:t>
      </w:r>
      <w:r w:rsidRPr="00654E3B">
        <w:rPr>
          <w:rFonts w:cs="Times New Roman"/>
          <w:vertAlign w:val="subscript"/>
        </w:rPr>
        <w:t>2</w:t>
      </w:r>
      <w:r w:rsidRPr="00654E3B">
        <w:rPr>
          <w:rFonts w:cs="Times New Roman"/>
        </w:rPr>
        <w:t xml:space="preserve"> = 1, didušikov oksid N</w:t>
      </w:r>
      <w:r w:rsidRPr="00654E3B">
        <w:rPr>
          <w:rFonts w:cs="Times New Roman"/>
          <w:vertAlign w:val="subscript"/>
        </w:rPr>
        <w:t>2</w:t>
      </w:r>
      <w:r w:rsidRPr="00654E3B">
        <w:rPr>
          <w:rFonts w:cs="Times New Roman"/>
        </w:rPr>
        <w:t>O = 298 i metan CH</w:t>
      </w:r>
      <w:r w:rsidRPr="00654E3B">
        <w:rPr>
          <w:rFonts w:cs="Times New Roman"/>
          <w:vertAlign w:val="subscript"/>
        </w:rPr>
        <w:t>4</w:t>
      </w:r>
      <w:r w:rsidRPr="00654E3B">
        <w:rPr>
          <w:rFonts w:cs="Times New Roman"/>
        </w:rPr>
        <w:t>=25.</w:t>
      </w:r>
    </w:p>
    <w:p w:rsidR="007D4A93" w:rsidRPr="00654E3B" w:rsidRDefault="00EF0BEB">
      <w:pPr>
        <w:pStyle w:val="Heading1"/>
        <w:rPr>
          <w:rFonts w:ascii="Times New Roman" w:hAnsi="Times New Roman" w:cs="Times New Roman"/>
        </w:rPr>
      </w:pPr>
      <w:bookmarkStart w:id="129" w:name="_Toc20841291"/>
      <w:bookmarkStart w:id="130" w:name="_Toc20841397"/>
      <w:bookmarkStart w:id="131" w:name="_Toc69810146"/>
      <w:r w:rsidRPr="00654E3B">
        <w:rPr>
          <w:rFonts w:ascii="Times New Roman" w:hAnsi="Times New Roman" w:cs="Times New Roman"/>
        </w:rPr>
        <w:t>2.</w:t>
      </w:r>
      <w:r w:rsidRPr="00654E3B">
        <w:rPr>
          <w:rFonts w:ascii="Times New Roman" w:hAnsi="Times New Roman" w:cs="Times New Roman"/>
        </w:rPr>
        <w:tab/>
        <w:t>SITUACIJA U REPUBLICI HRVATSKOJ</w:t>
      </w:r>
      <w:bookmarkEnd w:id="129"/>
      <w:bookmarkEnd w:id="130"/>
      <w:bookmarkEnd w:id="131"/>
    </w:p>
    <w:p w:rsidR="007D4A93" w:rsidRPr="00654E3B" w:rsidRDefault="00EF0BEB">
      <w:pPr>
        <w:pStyle w:val="Heading2"/>
        <w:rPr>
          <w:rFonts w:ascii="Times New Roman" w:hAnsi="Times New Roman" w:cs="Times New Roman"/>
        </w:rPr>
      </w:pPr>
      <w:bookmarkStart w:id="132" w:name="_Toc484158961"/>
      <w:bookmarkStart w:id="133" w:name="_Toc436823689"/>
      <w:bookmarkStart w:id="134" w:name="_Toc20841292"/>
      <w:bookmarkStart w:id="135" w:name="_Toc20841398"/>
      <w:bookmarkStart w:id="136" w:name="_Toc69810147"/>
      <w:r w:rsidRPr="00654E3B">
        <w:rPr>
          <w:rFonts w:ascii="Times New Roman" w:hAnsi="Times New Roman" w:cs="Times New Roman"/>
        </w:rPr>
        <w:t>2.1.</w:t>
      </w:r>
      <w:r w:rsidRPr="00654E3B">
        <w:rPr>
          <w:rFonts w:ascii="Times New Roman" w:hAnsi="Times New Roman" w:cs="Times New Roman"/>
        </w:rPr>
        <w:tab/>
        <w:t>GOSPODARSKI POKAZATELJI</w:t>
      </w:r>
      <w:bookmarkEnd w:id="132"/>
      <w:bookmarkEnd w:id="133"/>
      <w:bookmarkEnd w:id="134"/>
      <w:bookmarkEnd w:id="135"/>
      <w:bookmarkEnd w:id="136"/>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Nakon što je od 2000. do 2008. godine hrvatsko gospodarstvo raslo po prosječnoj godišnjoj stopi od 4,3</w:t>
      </w:r>
      <w:r w:rsidR="00060992" w:rsidRPr="00654E3B">
        <w:rPr>
          <w:rFonts w:cs="Times New Roman"/>
        </w:rPr>
        <w:t xml:space="preserve"> %</w:t>
      </w:r>
      <w:r w:rsidRPr="00654E3B">
        <w:rPr>
          <w:rFonts w:cs="Times New Roman"/>
        </w:rPr>
        <w:t xml:space="preserve"> koja je bila usporediva s rastom novih članica EU, 2009. godine započela je produljena recesija . Realni BDP se 2014. godine nalazio na 12,4</w:t>
      </w:r>
      <w:r w:rsidR="00060992" w:rsidRPr="00654E3B">
        <w:rPr>
          <w:rFonts w:cs="Times New Roman"/>
        </w:rPr>
        <w:t xml:space="preserve"> %</w:t>
      </w:r>
      <w:r w:rsidRPr="00654E3B">
        <w:rPr>
          <w:rFonts w:cs="Times New Roman"/>
        </w:rPr>
        <w:t xml:space="preserve"> nižoj razini u odnosu na 2008. godinu. Fizički obujam industrijske proizvodnje smanjen je za 17</w:t>
      </w:r>
      <w:r w:rsidR="00060992" w:rsidRPr="00654E3B">
        <w:rPr>
          <w:rFonts w:cs="Times New Roman"/>
        </w:rPr>
        <w:t xml:space="preserve"> %</w:t>
      </w:r>
      <w:r w:rsidRPr="00654E3B">
        <w:rPr>
          <w:rFonts w:cs="Times New Roman"/>
        </w:rPr>
        <w:t xml:space="preserve"> od 2008. do 2014. godine, a aktivnost u graditeljstvu zabilježila je još veći pad.</w:t>
      </w:r>
    </w:p>
    <w:p w:rsidR="007D4A93" w:rsidRPr="00654E3B" w:rsidRDefault="00EF0BEB">
      <w:pPr>
        <w:rPr>
          <w:rFonts w:cs="Times New Roman"/>
        </w:rPr>
      </w:pPr>
      <w:r w:rsidRPr="00654E3B">
        <w:rPr>
          <w:rFonts w:cs="Times New Roman"/>
        </w:rPr>
        <w:t>Gospodarski oporavak započeo je 2015. godine. Stopa rasta BDP-a u  2016. godini</w:t>
      </w:r>
      <w:r w:rsidR="00500F34" w:rsidRPr="00654E3B">
        <w:rPr>
          <w:rFonts w:cs="Times New Roman"/>
        </w:rPr>
        <w:t xml:space="preserve"> bi</w:t>
      </w:r>
      <w:r w:rsidR="00B47071" w:rsidRPr="00654E3B">
        <w:rPr>
          <w:rFonts w:cs="Times New Roman"/>
        </w:rPr>
        <w:t>la</w:t>
      </w:r>
      <w:r w:rsidR="00500F34" w:rsidRPr="00654E3B">
        <w:rPr>
          <w:rFonts w:cs="Times New Roman"/>
        </w:rPr>
        <w:t xml:space="preserve"> je</w:t>
      </w:r>
      <w:r w:rsidRPr="00654E3B">
        <w:rPr>
          <w:rFonts w:cs="Times New Roman"/>
        </w:rPr>
        <w:t xml:space="preserve"> 3,5</w:t>
      </w:r>
      <w:r w:rsidR="00060992" w:rsidRPr="00654E3B">
        <w:rPr>
          <w:rFonts w:cs="Times New Roman"/>
        </w:rPr>
        <w:t xml:space="preserve"> %</w:t>
      </w:r>
      <w:r w:rsidRPr="00654E3B">
        <w:rPr>
          <w:rFonts w:cs="Times New Roman"/>
        </w:rPr>
        <w:t xml:space="preserve">, </w:t>
      </w:r>
      <w:r w:rsidR="00616F44" w:rsidRPr="00654E3B">
        <w:rPr>
          <w:rFonts w:cs="Times New Roman"/>
        </w:rPr>
        <w:t>u 2017. godini 3,4</w:t>
      </w:r>
      <w:r w:rsidR="00060992" w:rsidRPr="00654E3B">
        <w:rPr>
          <w:rFonts w:cs="Times New Roman"/>
        </w:rPr>
        <w:t xml:space="preserve"> %</w:t>
      </w:r>
      <w:r w:rsidR="00616F44" w:rsidRPr="00654E3B">
        <w:rPr>
          <w:rFonts w:cs="Times New Roman"/>
        </w:rPr>
        <w:t>, u 2018. godini 2,8</w:t>
      </w:r>
      <w:r w:rsidR="00060992" w:rsidRPr="00654E3B">
        <w:rPr>
          <w:rFonts w:cs="Times New Roman"/>
        </w:rPr>
        <w:t xml:space="preserve"> %</w:t>
      </w:r>
      <w:r w:rsidR="00CC6349" w:rsidRPr="00654E3B">
        <w:rPr>
          <w:rFonts w:cs="Times New Roman"/>
        </w:rPr>
        <w:t xml:space="preserve">, u 2019. godini </w:t>
      </w:r>
      <w:r w:rsidR="00616F44" w:rsidRPr="00654E3B">
        <w:rPr>
          <w:rFonts w:cs="Times New Roman"/>
        </w:rPr>
        <w:t>2,9</w:t>
      </w:r>
      <w:r w:rsidR="00060992" w:rsidRPr="00654E3B">
        <w:rPr>
          <w:rFonts w:cs="Times New Roman"/>
        </w:rPr>
        <w:t xml:space="preserve"> %</w:t>
      </w:r>
      <w:r w:rsidR="00E11490" w:rsidRPr="00654E3B">
        <w:rPr>
          <w:rFonts w:cs="Times New Roman"/>
        </w:rPr>
        <w:t>, a u 2020. godini -8,4</w:t>
      </w:r>
      <w:r w:rsidR="00060992" w:rsidRPr="00654E3B">
        <w:rPr>
          <w:rFonts w:cs="Times New Roman"/>
        </w:rPr>
        <w:t xml:space="preserve"> %</w:t>
      </w:r>
      <w:r w:rsidRPr="00654E3B">
        <w:rPr>
          <w:rFonts w:cs="Times New Roman"/>
        </w:rPr>
        <w:t xml:space="preserve">. </w:t>
      </w:r>
    </w:p>
    <w:p w:rsidR="007D4A93" w:rsidRPr="00654E3B" w:rsidRDefault="00EF0BEB">
      <w:pPr>
        <w:rPr>
          <w:rFonts w:cs="Times New Roman"/>
          <w:szCs w:val="24"/>
          <w:lang w:eastAsia="ja-JP"/>
        </w:rPr>
      </w:pPr>
      <w:r w:rsidRPr="00654E3B">
        <w:rPr>
          <w:rFonts w:cs="Times New Roman"/>
        </w:rPr>
        <w:t xml:space="preserve">Hrvatsko gospodarstvo nalazi se u procesu strukturne transformacije iz gospodarstva </w:t>
      </w:r>
      <w:r w:rsidR="00112B0D" w:rsidRPr="00654E3B">
        <w:rPr>
          <w:rFonts w:cs="Times New Roman"/>
        </w:rPr>
        <w:t xml:space="preserve">ovisnog </w:t>
      </w:r>
      <w:r w:rsidRPr="00654E3B">
        <w:rPr>
          <w:rFonts w:cs="Times New Roman"/>
        </w:rPr>
        <w:t xml:space="preserve">o domaćoj potražnji i građevinskim ulaganjima, u međunarodno konkurentno, izvozno orijentirano gospodarstvo, u čemu turizam, ITC sektor i ostale usluge imaju važnu ulogu. Ubrzanju rasta znatno doprinosi i bolje korištenje sredstava europskih strukturnih i investicijskih fondova. </w:t>
      </w:r>
      <w:r w:rsidR="005B355A" w:rsidRPr="00654E3B">
        <w:rPr>
          <w:rFonts w:cs="Times New Roman"/>
        </w:rPr>
        <w:t>Početkom 2021. godine</w:t>
      </w:r>
      <w:r w:rsidRPr="00654E3B">
        <w:rPr>
          <w:rFonts w:cs="Times New Roman"/>
        </w:rPr>
        <w:t xml:space="preserve"> ukupno je isplaćeno </w:t>
      </w:r>
      <w:r w:rsidR="00E71777" w:rsidRPr="00654E3B">
        <w:rPr>
          <w:rFonts w:cs="Times New Roman"/>
        </w:rPr>
        <w:t>5</w:t>
      </w:r>
      <w:r w:rsidRPr="00654E3B">
        <w:rPr>
          <w:rFonts w:cs="Times New Roman"/>
        </w:rPr>
        <w:t>,</w:t>
      </w:r>
      <w:r w:rsidR="00E71777" w:rsidRPr="00654E3B">
        <w:rPr>
          <w:rFonts w:cs="Times New Roman"/>
        </w:rPr>
        <w:t xml:space="preserve">36 </w:t>
      </w:r>
      <w:r w:rsidRPr="00654E3B">
        <w:rPr>
          <w:rFonts w:cs="Times New Roman"/>
        </w:rPr>
        <w:t xml:space="preserve">mlrd. eura odnosno </w:t>
      </w:r>
      <w:r w:rsidR="00E71777" w:rsidRPr="00654E3B">
        <w:rPr>
          <w:rFonts w:cs="Times New Roman"/>
        </w:rPr>
        <w:t>49,94</w:t>
      </w:r>
      <w:r w:rsidR="00060992" w:rsidRPr="00654E3B">
        <w:rPr>
          <w:rFonts w:cs="Times New Roman"/>
        </w:rPr>
        <w:t xml:space="preserve"> %</w:t>
      </w:r>
      <w:r w:rsidRPr="00654E3B">
        <w:rPr>
          <w:rFonts w:cs="Times New Roman"/>
        </w:rPr>
        <w:t xml:space="preserve"> od ukupne alokacije za sedmogodišnje razdoblje (2014. – 2020.) te je zabilježen značajni porast objavljenih natječaja i ugovorenih projekata. Očekuje se da će se efikasnost korištenja sredstava EU fondova u narednim godinama povećati.</w:t>
      </w:r>
    </w:p>
    <w:p w:rsidR="007D4A93" w:rsidRPr="00654E3B" w:rsidRDefault="00EF0BEB">
      <w:pPr>
        <w:rPr>
          <w:rFonts w:cs="Times New Roman"/>
        </w:rPr>
      </w:pPr>
      <w:r w:rsidRPr="00654E3B">
        <w:rPr>
          <w:rFonts w:cs="Times New Roman"/>
        </w:rPr>
        <w:t>Gospodarski rast i fiskalna disciplina na strani rashoda proračuna u toku 2016. godine zaustavili su rast deficita proračuna i javnog duga, čiji su se omjeri u odnosu na BDP počeli smanjivati. Deficit je i tijekom 2017. i 2018. godine bio ispod 2</w:t>
      </w:r>
      <w:r w:rsidR="00060992" w:rsidRPr="00654E3B">
        <w:rPr>
          <w:rFonts w:cs="Times New Roman"/>
        </w:rPr>
        <w:t xml:space="preserve"> %</w:t>
      </w:r>
      <w:r w:rsidRPr="00654E3B">
        <w:rPr>
          <w:rFonts w:cs="Times New Roman"/>
        </w:rPr>
        <w:t xml:space="preserve"> BDP-a, a omjer javnog duga u odnosu na BDP je na kraju 2018. godine iznosio 74,6</w:t>
      </w:r>
      <w:r w:rsidR="00060992" w:rsidRPr="00654E3B">
        <w:rPr>
          <w:rFonts w:cs="Times New Roman"/>
        </w:rPr>
        <w:t xml:space="preserve"> %</w:t>
      </w:r>
      <w:r w:rsidRPr="00654E3B">
        <w:rPr>
          <w:rFonts w:cs="Times New Roman"/>
        </w:rPr>
        <w:t>. Početkom 2020. godine</w:t>
      </w:r>
      <w:r w:rsidR="003A6B35" w:rsidRPr="00654E3B">
        <w:rPr>
          <w:rFonts w:cs="Times New Roman"/>
        </w:rPr>
        <w:t>,</w:t>
      </w:r>
      <w:r w:rsidRPr="00654E3B">
        <w:rPr>
          <w:rFonts w:cs="Times New Roman"/>
        </w:rPr>
        <w:t xml:space="preserve"> Hrvatska</w:t>
      </w:r>
      <w:r w:rsidR="00B47071" w:rsidRPr="00654E3B">
        <w:rPr>
          <w:rFonts w:cs="Times New Roman"/>
        </w:rPr>
        <w:t>,</w:t>
      </w:r>
      <w:r w:rsidRPr="00654E3B">
        <w:rPr>
          <w:rFonts w:cs="Times New Roman"/>
        </w:rPr>
        <w:t xml:space="preserve"> kao i čitav svijet</w:t>
      </w:r>
      <w:r w:rsidR="00B47071" w:rsidRPr="00654E3B">
        <w:rPr>
          <w:rFonts w:cs="Times New Roman"/>
        </w:rPr>
        <w:t>,</w:t>
      </w:r>
      <w:r w:rsidRPr="00654E3B">
        <w:rPr>
          <w:rFonts w:cs="Times New Roman"/>
        </w:rPr>
        <w:t xml:space="preserve"> suočila se s pandemijom te je od strane EU planirana pomoć </w:t>
      </w:r>
      <w:r w:rsidR="00CC6349" w:rsidRPr="00654E3B">
        <w:rPr>
          <w:rFonts w:cs="Times New Roman"/>
        </w:rPr>
        <w:t>putem</w:t>
      </w:r>
      <w:r w:rsidRPr="00654E3B">
        <w:rPr>
          <w:rFonts w:cs="Times New Roman"/>
        </w:rPr>
        <w:t xml:space="preserve"> Fond</w:t>
      </w:r>
      <w:r w:rsidR="00CC6349" w:rsidRPr="00654E3B">
        <w:rPr>
          <w:rFonts w:cs="Times New Roman"/>
        </w:rPr>
        <w:t>a za oporavak</w:t>
      </w:r>
      <w:r w:rsidRPr="00654E3B">
        <w:rPr>
          <w:rFonts w:cs="Times New Roman"/>
        </w:rPr>
        <w:t xml:space="preserve">. </w:t>
      </w:r>
    </w:p>
    <w:p w:rsidR="007D4A93" w:rsidRPr="00654E3B" w:rsidRDefault="00EF0BEB">
      <w:pPr>
        <w:pStyle w:val="Heading2"/>
        <w:rPr>
          <w:rFonts w:ascii="Times New Roman" w:hAnsi="Times New Roman" w:cs="Times New Roman"/>
        </w:rPr>
      </w:pPr>
      <w:bookmarkStart w:id="137" w:name="_Toc20841293"/>
      <w:bookmarkStart w:id="138" w:name="_Toc20841399"/>
      <w:bookmarkStart w:id="139" w:name="_Toc69810148"/>
      <w:r w:rsidRPr="00654E3B">
        <w:rPr>
          <w:rFonts w:ascii="Times New Roman" w:hAnsi="Times New Roman" w:cs="Times New Roman"/>
        </w:rPr>
        <w:t>2.2.</w:t>
      </w:r>
      <w:r w:rsidRPr="00654E3B">
        <w:rPr>
          <w:rFonts w:ascii="Times New Roman" w:hAnsi="Times New Roman" w:cs="Times New Roman"/>
        </w:rPr>
        <w:tab/>
        <w:t>SOCIOLOŠKI POKAZATELJI</w:t>
      </w:r>
      <w:bookmarkEnd w:id="137"/>
      <w:bookmarkEnd w:id="138"/>
      <w:bookmarkEnd w:id="139"/>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Prema zadnjem Popisu stanovništva iz 2011. godine, broj stanovnika u Republici Hrvatskoj iznosi 4.284.889. Prosječna starost u 2011. godini iznosila je 41,7 godina. </w:t>
      </w:r>
    </w:p>
    <w:p w:rsidR="007D4A93" w:rsidRPr="00654E3B" w:rsidRDefault="00EF0BEB">
      <w:pPr>
        <w:rPr>
          <w:rFonts w:cs="Times New Roman"/>
        </w:rPr>
      </w:pPr>
      <w:r w:rsidRPr="00654E3B">
        <w:rPr>
          <w:rFonts w:cs="Times New Roman"/>
        </w:rPr>
        <w:t>Republika Hrvatska već dugi niz godina bilježi vrlo nepovoljne demografske trendove. Demografsko starenje i depopulacija</w:t>
      </w:r>
      <w:r w:rsidR="003A6B35" w:rsidRPr="00654E3B">
        <w:rPr>
          <w:rFonts w:cs="Times New Roman"/>
        </w:rPr>
        <w:t>,</w:t>
      </w:r>
      <w:r w:rsidRPr="00654E3B">
        <w:rPr>
          <w:rFonts w:cs="Times New Roman"/>
        </w:rPr>
        <w:t xml:space="preserve"> temeljni su demografski procesi u Republici Hrvatskoj. Hrvatska je jedna od rijetkih europskih država koja već dva desetljeća ima smanjenje broja stanovnika zbog negativnog prirodnog prirasta, a iseljavanje mladih i stručno obrazovanih ljudi zbog nezaposlenosti i nezadovoljstva svojim primanjima postaje ozbiljan problem. </w:t>
      </w:r>
    </w:p>
    <w:p w:rsidR="007D4A93" w:rsidRPr="00654E3B" w:rsidRDefault="00EF0BEB">
      <w:pPr>
        <w:rPr>
          <w:rFonts w:cs="Times New Roman"/>
        </w:rPr>
      </w:pPr>
      <w:r w:rsidRPr="00654E3B">
        <w:rPr>
          <w:rFonts w:cs="Times New Roman"/>
        </w:rPr>
        <w:t>U Republici Hrvatskoj vidljive su velike i rastuće razlike između pojedinih regija i mikro regija Hrvatske. Indeks razvijenosti ukazuje na velike teritorijalne i razvojne razlike. Isto tako, zabrinjavajuća je konstantna depopulacija ruralnog prostora.</w:t>
      </w:r>
    </w:p>
    <w:p w:rsidR="007D4A93" w:rsidRPr="00654E3B" w:rsidRDefault="00EF0BEB">
      <w:pPr>
        <w:pStyle w:val="Heading2"/>
        <w:rPr>
          <w:rFonts w:ascii="Times New Roman" w:hAnsi="Times New Roman" w:cs="Times New Roman"/>
        </w:rPr>
      </w:pPr>
      <w:bookmarkStart w:id="140" w:name="_Toc20841294"/>
      <w:bookmarkStart w:id="141" w:name="_Toc20841400"/>
      <w:bookmarkStart w:id="142" w:name="_Toc69810149"/>
      <w:r w:rsidRPr="00654E3B">
        <w:rPr>
          <w:rFonts w:ascii="Times New Roman" w:hAnsi="Times New Roman" w:cs="Times New Roman"/>
        </w:rPr>
        <w:t>2.3.</w:t>
      </w:r>
      <w:r w:rsidRPr="00654E3B">
        <w:rPr>
          <w:rFonts w:ascii="Times New Roman" w:hAnsi="Times New Roman" w:cs="Times New Roman"/>
        </w:rPr>
        <w:tab/>
        <w:t>EMISIJE STAKLENIČKIH PLINOVA</w:t>
      </w:r>
      <w:bookmarkEnd w:id="140"/>
      <w:bookmarkEnd w:id="141"/>
      <w:bookmarkEnd w:id="142"/>
    </w:p>
    <w:p w:rsidR="007D4A93" w:rsidRPr="00654E3B" w:rsidRDefault="007D4A93">
      <w:pPr>
        <w:rPr>
          <w:rFonts w:cs="Times New Roman"/>
        </w:rPr>
      </w:pPr>
    </w:p>
    <w:p w:rsidR="007D4A93" w:rsidRPr="00654E3B" w:rsidRDefault="00EF0BEB">
      <w:pPr>
        <w:rPr>
          <w:rFonts w:cs="Times New Roman"/>
        </w:rPr>
      </w:pPr>
      <w:r w:rsidRPr="00654E3B">
        <w:rPr>
          <w:rFonts w:cs="Times New Roman"/>
        </w:rPr>
        <w:lastRenderedPageBreak/>
        <w:t xml:space="preserve">Inventar emisija i </w:t>
      </w:r>
      <w:r w:rsidR="00CC6349" w:rsidRPr="00654E3B">
        <w:rPr>
          <w:rFonts w:cs="Times New Roman"/>
        </w:rPr>
        <w:t>ponora</w:t>
      </w:r>
      <w:r w:rsidRPr="00654E3B">
        <w:rPr>
          <w:rFonts w:cs="Times New Roman"/>
        </w:rPr>
        <w:t xml:space="preserve"> stakleničkih plinova</w:t>
      </w:r>
      <w:r w:rsidR="003A6B35" w:rsidRPr="00654E3B">
        <w:rPr>
          <w:rFonts w:cs="Times New Roman"/>
        </w:rPr>
        <w:t>,</w:t>
      </w:r>
      <w:r w:rsidRPr="00654E3B">
        <w:rPr>
          <w:rFonts w:cs="Times New Roman"/>
        </w:rPr>
        <w:t xml:space="preserve"> izrađuje se u skladu sa UNFCCC smjernicama za izvješćivanje o godišnjim inventarima, koje su prihvaćene odlukom 24/CP.19 COP-a (Conference of Parties). Pri izradi proračuna emisije stakleničkih plinova</w:t>
      </w:r>
      <w:r w:rsidR="003A6B35" w:rsidRPr="00654E3B">
        <w:rPr>
          <w:rFonts w:cs="Times New Roman"/>
        </w:rPr>
        <w:t>,</w:t>
      </w:r>
      <w:r w:rsidRPr="00654E3B">
        <w:rPr>
          <w:rFonts w:cs="Times New Roman"/>
        </w:rPr>
        <w:t xml:space="preserve"> koristi se metodologija opisana u IPCC Vodiču za izradu Nacionalnih inventara emisija stakleničkih plinova iz 2006. godine. U skladu s Vodičem</w:t>
      </w:r>
      <w:r w:rsidR="003A6B35" w:rsidRPr="00654E3B">
        <w:rPr>
          <w:rFonts w:cs="Times New Roman"/>
        </w:rPr>
        <w:t>,</w:t>
      </w:r>
      <w:r w:rsidRPr="00654E3B">
        <w:rPr>
          <w:rFonts w:cs="Times New Roman"/>
        </w:rPr>
        <w:t xml:space="preserve"> izvori emisija i </w:t>
      </w:r>
      <w:r w:rsidR="00BF4CA8" w:rsidRPr="00654E3B">
        <w:rPr>
          <w:rFonts w:cs="Times New Roman"/>
        </w:rPr>
        <w:t>ponori</w:t>
      </w:r>
      <w:r w:rsidRPr="00654E3B">
        <w:rPr>
          <w:rFonts w:cs="Times New Roman"/>
        </w:rPr>
        <w:t xml:space="preserve"> stakleničkih plinova podijeljeni su u pet glavnih sektora: energetika, industrijski procesi i uporaba proizvoda, poljoprivreda, korištenje zemljišta, prenamjena </w:t>
      </w:r>
      <w:r w:rsidR="006542E1" w:rsidRPr="00654E3B">
        <w:rPr>
          <w:rFonts w:cs="Times New Roman"/>
        </w:rPr>
        <w:t>zemljišta i šumarstvo (LULUCF)</w:t>
      </w:r>
      <w:r w:rsidRPr="00654E3B">
        <w:rPr>
          <w:rFonts w:cs="Times New Roman"/>
        </w:rPr>
        <w:t xml:space="preserve"> te otpad. Sektor energetike uključuje: proizvodnju električne energij</w:t>
      </w:r>
      <w:r w:rsidR="006542E1" w:rsidRPr="00654E3B">
        <w:rPr>
          <w:rFonts w:cs="Times New Roman"/>
        </w:rPr>
        <w:t>e i topline, promet te potrošnju</w:t>
      </w:r>
      <w:r w:rsidRPr="00654E3B">
        <w:rPr>
          <w:rFonts w:cs="Times New Roman"/>
        </w:rPr>
        <w:t xml:space="preserve"> energije za grijanje i hlađenje zgrada odnosno zgradarstvo.</w:t>
      </w:r>
    </w:p>
    <w:p w:rsidR="007D4A93" w:rsidRPr="00654E3B" w:rsidRDefault="00EF0BEB">
      <w:pPr>
        <w:rPr>
          <w:rFonts w:cs="Times New Roman"/>
        </w:rPr>
      </w:pPr>
      <w:r w:rsidRPr="00654E3B">
        <w:rPr>
          <w:rFonts w:cs="Times New Roman"/>
        </w:rPr>
        <w:t>Proračun obuhvaća emisije koje su posljedica ljudskih djelatnosti i to direktne stakleničke plinove: ugljikov dioksid (CO</w:t>
      </w:r>
      <w:r w:rsidRPr="00654E3B">
        <w:rPr>
          <w:rFonts w:cs="Times New Roman"/>
          <w:vertAlign w:val="subscript"/>
        </w:rPr>
        <w:t>2</w:t>
      </w:r>
      <w:r w:rsidRPr="00654E3B">
        <w:rPr>
          <w:rFonts w:cs="Times New Roman"/>
        </w:rPr>
        <w:t>), metan (CH</w:t>
      </w:r>
      <w:r w:rsidRPr="00654E3B">
        <w:rPr>
          <w:rFonts w:cs="Times New Roman"/>
          <w:vertAlign w:val="subscript"/>
        </w:rPr>
        <w:t>4</w:t>
      </w:r>
      <w:r w:rsidRPr="00654E3B">
        <w:rPr>
          <w:rFonts w:cs="Times New Roman"/>
        </w:rPr>
        <w:t>), didušikov oksid (N</w:t>
      </w:r>
      <w:r w:rsidRPr="00654E3B">
        <w:rPr>
          <w:rFonts w:cs="Times New Roman"/>
          <w:vertAlign w:val="subscript"/>
        </w:rPr>
        <w:t>2</w:t>
      </w:r>
      <w:r w:rsidRPr="00654E3B">
        <w:rPr>
          <w:rFonts w:cs="Times New Roman"/>
        </w:rPr>
        <w:t>O), fluorirane ugljikovodike (HFC-e i PFC-e) i sumporov heksafluorid (SF</w:t>
      </w:r>
      <w:r w:rsidRPr="00654E3B">
        <w:rPr>
          <w:rFonts w:cs="Times New Roman"/>
          <w:vertAlign w:val="subscript"/>
        </w:rPr>
        <w:t>6</w:t>
      </w:r>
      <w:r w:rsidRPr="00654E3B">
        <w:rPr>
          <w:rFonts w:cs="Times New Roman"/>
        </w:rPr>
        <w:t>) te indirektne stakleničke plinove: ugljikov monoksid (CO), dušikove okside (NO</w:t>
      </w:r>
      <w:r w:rsidRPr="00654E3B">
        <w:rPr>
          <w:rFonts w:cs="Times New Roman"/>
          <w:vertAlign w:val="subscript"/>
        </w:rPr>
        <w:t>X</w:t>
      </w:r>
      <w:r w:rsidRPr="00654E3B">
        <w:rPr>
          <w:rFonts w:cs="Times New Roman"/>
        </w:rPr>
        <w:t>), ne-metanske hlapive organske spojeve (NMHOS) i sumporov dioksid (SO</w:t>
      </w:r>
      <w:r w:rsidRPr="00654E3B">
        <w:rPr>
          <w:rFonts w:cs="Times New Roman"/>
          <w:vertAlign w:val="subscript"/>
        </w:rPr>
        <w:t>2</w:t>
      </w:r>
      <w:r w:rsidRPr="00654E3B">
        <w:rPr>
          <w:rFonts w:cs="Times New Roman"/>
        </w:rPr>
        <w:t xml:space="preserve">). </w:t>
      </w:r>
    </w:p>
    <w:p w:rsidR="007D4A93" w:rsidRPr="00654E3B" w:rsidRDefault="00EF0BEB" w:rsidP="009F6651">
      <w:pPr>
        <w:pStyle w:val="Heading3"/>
      </w:pPr>
      <w:bookmarkStart w:id="143" w:name="_Toc69810150"/>
      <w:r w:rsidRPr="00654E3B">
        <w:t>2.3.1. Trend emisija</w:t>
      </w:r>
      <w:bookmarkEnd w:id="143"/>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Ukupna emisija stakleničkih plinova u Republici Hrvatskoj, isključujući </w:t>
      </w:r>
      <w:r w:rsidR="00BF4CA8" w:rsidRPr="00654E3B">
        <w:rPr>
          <w:rFonts w:cs="Times New Roman"/>
        </w:rPr>
        <w:t>ponore</w:t>
      </w:r>
      <w:r w:rsidRPr="00654E3B">
        <w:rPr>
          <w:rFonts w:cs="Times New Roman"/>
        </w:rPr>
        <w:t>, u 2018. godini iznosila je 23.792,80 kt CO</w:t>
      </w:r>
      <w:r w:rsidRPr="00654E3B">
        <w:rPr>
          <w:rFonts w:cs="Times New Roman"/>
          <w:vertAlign w:val="subscript"/>
        </w:rPr>
        <w:t>2</w:t>
      </w:r>
      <w:r w:rsidRPr="00654E3B">
        <w:rPr>
          <w:rFonts w:cs="Times New Roman"/>
        </w:rPr>
        <w:t>e, što predstavlja smanjenje emisija za 25,36</w:t>
      </w:r>
      <w:r w:rsidR="00060992" w:rsidRPr="00654E3B">
        <w:rPr>
          <w:rFonts w:cs="Times New Roman"/>
        </w:rPr>
        <w:t xml:space="preserve"> %</w:t>
      </w:r>
      <w:r w:rsidRPr="00654E3B">
        <w:rPr>
          <w:rFonts w:cs="Times New Roman"/>
        </w:rPr>
        <w:t xml:space="preserve"> u odnosu na emisiju stakleničkih plinova u 1990. godini. Trend emisija stakleničkih plinova po sektorima, prikazan je na slici 2-1. i tablici 2-1.</w:t>
      </w:r>
    </w:p>
    <w:p w:rsidR="007D4A93" w:rsidRPr="00654E3B" w:rsidRDefault="007D4A93">
      <w:pPr>
        <w:jc w:val="center"/>
        <w:rPr>
          <w:rFonts w:cs="Times New Roman"/>
        </w:rPr>
      </w:pPr>
    </w:p>
    <w:p w:rsidR="007D4A93" w:rsidRPr="00F01191" w:rsidRDefault="00EF0BEB">
      <w:pPr>
        <w:pStyle w:val="Slika"/>
        <w:spacing w:before="120"/>
        <w:jc w:val="center"/>
        <w:rPr>
          <w:rFonts w:ascii="Times New Roman" w:hAnsi="Times New Roman"/>
          <w:i/>
        </w:rPr>
      </w:pPr>
      <w:bookmarkStart w:id="144" w:name="_Toc33417095"/>
      <w:r w:rsidRPr="00F01191">
        <w:rPr>
          <w:rFonts w:ascii="Times New Roman" w:hAnsi="Times New Roman"/>
          <w:i/>
          <w:noProof/>
          <w:lang w:val="en-US"/>
        </w:rPr>
        <w:drawing>
          <wp:inline distT="0" distB="0" distL="0" distR="0" wp14:anchorId="2CB91109" wp14:editId="52CF4D73">
            <wp:extent cx="3761232" cy="246278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jpg"/>
                    <pic:cNvPicPr>
                      <a:picLocks noChangeAspect="1"/>
                    </pic:cNvPicPr>
                  </pic:nvPicPr>
                  <pic:blipFill>
                    <a:blip r:embed="rId12"/>
                    <a:stretch/>
                  </pic:blipFill>
                  <pic:spPr bwMode="auto">
                    <a:xfrm>
                      <a:off x="0" y="0"/>
                      <a:ext cx="3761232" cy="2462784"/>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2-1: Trend emisija stakleničkih plinova po sektorima</w:t>
      </w:r>
      <w:bookmarkEnd w:id="144"/>
    </w:p>
    <w:p w:rsidR="007D4A93" w:rsidRPr="00654E3B" w:rsidRDefault="00EF0BEB">
      <w:pPr>
        <w:pStyle w:val="Tablicanaslov"/>
        <w:spacing w:after="120"/>
        <w:ind w:left="1416" w:hanging="1416"/>
        <w:rPr>
          <w:rFonts w:cs="Times New Roman"/>
          <w:i/>
          <w:sz w:val="22"/>
          <w:szCs w:val="22"/>
        </w:rPr>
      </w:pPr>
      <w:bookmarkStart w:id="145" w:name="_Toc28613854"/>
      <w:r w:rsidRPr="00654E3B">
        <w:rPr>
          <w:rFonts w:cs="Times New Roman"/>
          <w:i/>
          <w:sz w:val="22"/>
          <w:szCs w:val="22"/>
        </w:rPr>
        <w:t>Tablica 2-1: Emisije/</w:t>
      </w:r>
      <w:r w:rsidR="00BF4CA8" w:rsidRPr="00654E3B">
        <w:rPr>
          <w:rFonts w:cs="Times New Roman"/>
          <w:i/>
          <w:sz w:val="22"/>
          <w:szCs w:val="22"/>
        </w:rPr>
        <w:t>ponori</w:t>
      </w:r>
      <w:r w:rsidRPr="00654E3B">
        <w:rPr>
          <w:rFonts w:cs="Times New Roman"/>
          <w:i/>
          <w:sz w:val="22"/>
          <w:szCs w:val="22"/>
        </w:rPr>
        <w:t xml:space="preserve"> stakleničkih plinova po sektorima u razdoblju od 1990. do 2018. godine (kt CO</w:t>
      </w:r>
      <w:r w:rsidRPr="00654E3B">
        <w:rPr>
          <w:rFonts w:cs="Times New Roman"/>
          <w:i/>
          <w:sz w:val="22"/>
          <w:szCs w:val="22"/>
          <w:vertAlign w:val="subscript"/>
        </w:rPr>
        <w:t>2</w:t>
      </w:r>
      <w:r w:rsidRPr="00654E3B">
        <w:rPr>
          <w:rFonts w:cs="Times New Roman"/>
          <w:i/>
          <w:sz w:val="22"/>
          <w:szCs w:val="22"/>
        </w:rPr>
        <w:t>-eq)</w:t>
      </w:r>
      <w:bookmarkEnd w:id="145"/>
      <w:r w:rsidRPr="00654E3B">
        <w:rPr>
          <w:rFonts w:cs="Times New Roman"/>
          <w:i/>
          <w:sz w:val="22"/>
          <w:szCs w:val="22"/>
        </w:rPr>
        <w:t xml:space="preserve"> </w:t>
      </w:r>
    </w:p>
    <w:tbl>
      <w:tblPr>
        <w:tblW w:w="5083" w:type="pct"/>
        <w:tblInd w:w="-150"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CellMar>
          <w:left w:w="57" w:type="dxa"/>
          <w:right w:w="57" w:type="dxa"/>
        </w:tblCellMar>
        <w:tblLook w:val="0000" w:firstRow="0" w:lastRow="0" w:firstColumn="0" w:lastColumn="0" w:noHBand="0" w:noVBand="0"/>
      </w:tblPr>
      <w:tblGrid>
        <w:gridCol w:w="1785"/>
        <w:gridCol w:w="1061"/>
        <w:gridCol w:w="1058"/>
        <w:gridCol w:w="1058"/>
        <w:gridCol w:w="1058"/>
        <w:gridCol w:w="1058"/>
        <w:gridCol w:w="1058"/>
        <w:gridCol w:w="1068"/>
      </w:tblGrid>
      <w:tr w:rsidR="007D4A93" w:rsidRPr="00654E3B">
        <w:trPr>
          <w:cantSplit/>
          <w:trHeight w:val="312"/>
          <w:tblHeader/>
        </w:trPr>
        <w:tc>
          <w:tcPr>
            <w:tcW w:w="969" w:type="pct"/>
            <w:vMerge w:val="restart"/>
            <w:tcBorders>
              <w:left w:val="single" w:sz="6" w:space="0" w:color="4F81BD"/>
              <w:bottom w:val="single" w:sz="6" w:space="0" w:color="FFFFFF"/>
              <w:right w:val="single" w:sz="6" w:space="0" w:color="FFFFFF"/>
            </w:tcBorders>
            <w:shd w:val="clear" w:color="auto" w:fill="4F81BD"/>
            <w:vAlign w:val="center"/>
          </w:tcPr>
          <w:p w:rsidR="007D4A93" w:rsidRPr="00654E3B" w:rsidRDefault="00EF0BEB" w:rsidP="00BF4CA8">
            <w:pPr>
              <w:keepNext/>
              <w:spacing w:line="240" w:lineRule="auto"/>
              <w:jc w:val="left"/>
              <w:rPr>
                <w:rFonts w:eastAsia="Times New Roman" w:cs="Times New Roman"/>
                <w:b/>
                <w:i/>
                <w:color w:val="FFFFFF"/>
                <w:sz w:val="20"/>
                <w:lang w:eastAsia="hr-HR"/>
              </w:rPr>
            </w:pPr>
            <w:r w:rsidRPr="00654E3B">
              <w:rPr>
                <w:rFonts w:eastAsia="MS Mincho" w:cs="Times New Roman"/>
                <w:b/>
                <w:color w:val="FFFFFF"/>
                <w:sz w:val="20"/>
                <w:lang w:eastAsia="hr-HR"/>
              </w:rPr>
              <w:t>Izvor emisije /</w:t>
            </w:r>
            <w:r w:rsidR="00BF4CA8" w:rsidRPr="00654E3B">
              <w:rPr>
                <w:rFonts w:eastAsia="MS Mincho" w:cs="Times New Roman"/>
                <w:b/>
                <w:color w:val="FFFFFF"/>
                <w:sz w:val="20"/>
                <w:lang w:eastAsia="hr-HR"/>
              </w:rPr>
              <w:t>ponor</w:t>
            </w:r>
            <w:r w:rsidRPr="00654E3B">
              <w:rPr>
                <w:rFonts w:eastAsia="MS Mincho" w:cs="Times New Roman"/>
                <w:b/>
                <w:color w:val="FFFFFF"/>
                <w:sz w:val="20"/>
                <w:lang w:eastAsia="hr-HR"/>
              </w:rPr>
              <w:t>a stakleničkih plinova</w:t>
            </w:r>
          </w:p>
        </w:tc>
        <w:tc>
          <w:tcPr>
            <w:tcW w:w="4031" w:type="pct"/>
            <w:gridSpan w:val="7"/>
            <w:tcBorders>
              <w:left w:val="single" w:sz="6" w:space="0" w:color="FFFFFF"/>
              <w:bottom w:val="single" w:sz="6" w:space="0" w:color="FFFFFF"/>
            </w:tcBorders>
            <w:shd w:val="clear" w:color="auto" w:fill="4F81BD"/>
            <w:vAlign w:val="center"/>
          </w:tcPr>
          <w:p w:rsidR="007D4A93" w:rsidRPr="00654E3B" w:rsidRDefault="00BF4CA8">
            <w:pPr>
              <w:keepNext/>
              <w:spacing w:line="276" w:lineRule="auto"/>
              <w:jc w:val="center"/>
              <w:rPr>
                <w:rFonts w:eastAsia="Times New Roman" w:cs="Times New Roman"/>
                <w:b/>
                <w:color w:val="FFFFFF"/>
                <w:sz w:val="20"/>
                <w:lang w:eastAsia="hr-HR"/>
              </w:rPr>
            </w:pPr>
            <w:r w:rsidRPr="00654E3B">
              <w:rPr>
                <w:rFonts w:eastAsia="Times New Roman" w:cs="Times New Roman"/>
                <w:b/>
                <w:color w:val="FFFFFF"/>
                <w:sz w:val="20"/>
                <w:lang w:eastAsia="hr-HR"/>
              </w:rPr>
              <w:t>Emisije / ponor</w:t>
            </w:r>
            <w:r w:rsidR="00EF0BEB" w:rsidRPr="00654E3B">
              <w:rPr>
                <w:rFonts w:eastAsia="Times New Roman" w:cs="Times New Roman"/>
                <w:b/>
                <w:color w:val="FFFFFF"/>
                <w:sz w:val="20"/>
                <w:lang w:eastAsia="hr-HR"/>
              </w:rPr>
              <w:t>i stakleničkih plinova (kt CO</w:t>
            </w:r>
            <w:r w:rsidR="00EF0BEB" w:rsidRPr="00654E3B">
              <w:rPr>
                <w:rFonts w:eastAsia="Times New Roman" w:cs="Times New Roman"/>
                <w:b/>
                <w:color w:val="FFFFFF"/>
                <w:sz w:val="20"/>
                <w:vertAlign w:val="subscript"/>
                <w:lang w:eastAsia="hr-HR"/>
              </w:rPr>
              <w:t>2</w:t>
            </w:r>
            <w:r w:rsidR="00EF0BEB" w:rsidRPr="00654E3B">
              <w:rPr>
                <w:rFonts w:eastAsia="Times New Roman" w:cs="Times New Roman"/>
                <w:b/>
                <w:color w:val="FFFFFF"/>
                <w:sz w:val="20"/>
                <w:lang w:eastAsia="hr-HR"/>
              </w:rPr>
              <w:t>-eq)</w:t>
            </w:r>
          </w:p>
        </w:tc>
      </w:tr>
      <w:tr w:rsidR="007D4A93" w:rsidRPr="00654E3B">
        <w:trPr>
          <w:cantSplit/>
          <w:trHeight w:val="358"/>
          <w:tblHeader/>
        </w:trPr>
        <w:tc>
          <w:tcPr>
            <w:tcW w:w="969" w:type="pct"/>
            <w:vMerge/>
            <w:tcBorders>
              <w:top w:val="single" w:sz="6" w:space="0" w:color="FFFFFF"/>
              <w:left w:val="single" w:sz="6" w:space="0" w:color="4F81BD"/>
              <w:right w:val="single" w:sz="6" w:space="0" w:color="FFFFFF"/>
            </w:tcBorders>
            <w:shd w:val="clear" w:color="auto" w:fill="4F81BD"/>
            <w:vAlign w:val="center"/>
          </w:tcPr>
          <w:p w:rsidR="007D4A93" w:rsidRPr="00654E3B" w:rsidRDefault="007D4A93">
            <w:pPr>
              <w:spacing w:line="240" w:lineRule="auto"/>
              <w:rPr>
                <w:rFonts w:eastAsia="Times New Roman" w:cs="Times New Roman"/>
                <w:b/>
                <w:i/>
                <w:color w:val="FFFFFF"/>
                <w:sz w:val="20"/>
                <w:lang w:eastAsia="hr-HR"/>
              </w:rPr>
            </w:pPr>
          </w:p>
        </w:tc>
        <w:tc>
          <w:tcPr>
            <w:tcW w:w="576"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1990.</w:t>
            </w:r>
          </w:p>
        </w:tc>
        <w:tc>
          <w:tcPr>
            <w:tcW w:w="575"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2000.</w:t>
            </w:r>
          </w:p>
        </w:tc>
        <w:tc>
          <w:tcPr>
            <w:tcW w:w="575"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2010.</w:t>
            </w:r>
          </w:p>
        </w:tc>
        <w:tc>
          <w:tcPr>
            <w:tcW w:w="575"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2015.</w:t>
            </w:r>
          </w:p>
        </w:tc>
        <w:tc>
          <w:tcPr>
            <w:tcW w:w="575" w:type="pct"/>
            <w:tcBorders>
              <w:top w:val="single" w:sz="6" w:space="0" w:color="FFFFFF"/>
              <w:left w:val="single" w:sz="6" w:space="0" w:color="FFFFFF"/>
              <w:bottom w:val="none" w:sz="4" w:space="0" w:color="000000"/>
              <w:right w:val="single" w:sz="6"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2016.</w:t>
            </w:r>
          </w:p>
        </w:tc>
        <w:tc>
          <w:tcPr>
            <w:tcW w:w="575" w:type="pct"/>
            <w:tcBorders>
              <w:top w:val="single" w:sz="6" w:space="0" w:color="FFFFFF"/>
              <w:left w:val="single" w:sz="6" w:space="0" w:color="FFFFFF"/>
              <w:bottom w:val="none" w:sz="4" w:space="0" w:color="000000"/>
              <w:right w:val="single" w:sz="4" w:space="0" w:color="FFFFFF"/>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2017.</w:t>
            </w:r>
          </w:p>
        </w:tc>
        <w:tc>
          <w:tcPr>
            <w:tcW w:w="579" w:type="pct"/>
            <w:tcBorders>
              <w:top w:val="single" w:sz="6" w:space="0" w:color="FFFFFF"/>
              <w:left w:val="single" w:sz="4" w:space="0" w:color="FFFFFF"/>
              <w:bottom w:val="none" w:sz="4" w:space="0" w:color="000000"/>
            </w:tcBorders>
            <w:shd w:val="clear" w:color="auto" w:fill="4F81BD"/>
          </w:tcPr>
          <w:p w:rsidR="007D4A93" w:rsidRPr="00654E3B" w:rsidRDefault="00EF0BEB">
            <w:pPr>
              <w:spacing w:line="276" w:lineRule="auto"/>
              <w:jc w:val="center"/>
              <w:rPr>
                <w:rFonts w:eastAsia="Times New Roman" w:cs="Times New Roman"/>
                <w:b/>
                <w:color w:val="FFFFFF"/>
                <w:sz w:val="20"/>
                <w:lang w:eastAsia="hr-HR"/>
              </w:rPr>
            </w:pPr>
            <w:r w:rsidRPr="00654E3B">
              <w:rPr>
                <w:rFonts w:cs="Times New Roman"/>
                <w:b/>
                <w:color w:val="FFFFFF" w:themeColor="background1"/>
                <w:sz w:val="20"/>
              </w:rPr>
              <w:t>2018.</w:t>
            </w:r>
          </w:p>
        </w:tc>
      </w:tr>
      <w:tr w:rsidR="007D4A93" w:rsidRPr="00654E3B">
        <w:trPr>
          <w:cantSplit/>
          <w:trHeight w:val="312"/>
        </w:trPr>
        <w:tc>
          <w:tcPr>
            <w:tcW w:w="969" w:type="pct"/>
            <w:tcBorders>
              <w:left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Energetika (uključujući promet)</w:t>
            </w:r>
          </w:p>
        </w:tc>
        <w:tc>
          <w:tcPr>
            <w:tcW w:w="576" w:type="pct"/>
            <w:tcBorders>
              <w:top w:val="none" w:sz="4" w:space="0" w:color="000000"/>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21.731,3</w:t>
            </w:r>
          </w:p>
        </w:tc>
        <w:tc>
          <w:tcPr>
            <w:tcW w:w="575" w:type="pct"/>
            <w:tcBorders>
              <w:top w:val="none" w:sz="4" w:space="0" w:color="000000"/>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18.194,8</w:t>
            </w:r>
          </w:p>
        </w:tc>
        <w:tc>
          <w:tcPr>
            <w:tcW w:w="575" w:type="pct"/>
            <w:tcBorders>
              <w:top w:val="none" w:sz="4" w:space="0" w:color="000000"/>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19.749,5</w:t>
            </w:r>
          </w:p>
        </w:tc>
        <w:tc>
          <w:tcPr>
            <w:tcW w:w="575" w:type="pct"/>
            <w:tcBorders>
              <w:top w:val="none" w:sz="4" w:space="0" w:color="000000"/>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16.625,2</w:t>
            </w:r>
          </w:p>
        </w:tc>
        <w:tc>
          <w:tcPr>
            <w:tcW w:w="575" w:type="pct"/>
            <w:tcBorders>
              <w:top w:val="none" w:sz="4" w:space="0" w:color="000000"/>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17.009,5</w:t>
            </w:r>
          </w:p>
        </w:tc>
        <w:tc>
          <w:tcPr>
            <w:tcW w:w="575" w:type="pct"/>
            <w:tcBorders>
              <w:top w:val="none" w:sz="4" w:space="0" w:color="000000"/>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17.388,1</w:t>
            </w:r>
          </w:p>
        </w:tc>
        <w:tc>
          <w:tcPr>
            <w:tcW w:w="579" w:type="pct"/>
            <w:tcBorders>
              <w:top w:val="none" w:sz="4" w:space="0" w:color="000000"/>
              <w:lef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16.443,0</w:t>
            </w:r>
          </w:p>
        </w:tc>
      </w:tr>
      <w:tr w:rsidR="007D4A93" w:rsidRPr="00654E3B">
        <w:trPr>
          <w:cantSplit/>
          <w:trHeight w:val="312"/>
        </w:trPr>
        <w:tc>
          <w:tcPr>
            <w:tcW w:w="969" w:type="pct"/>
            <w:tcBorders>
              <w:left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Industrijski procesi i uporaba proizvoda</w:t>
            </w:r>
          </w:p>
        </w:tc>
        <w:tc>
          <w:tcPr>
            <w:tcW w:w="576"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4.669,7</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3.132,3</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3.317,1</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2.823,2</w:t>
            </w:r>
          </w:p>
        </w:tc>
        <w:tc>
          <w:tcPr>
            <w:tcW w:w="575" w:type="pct"/>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2.489,0</w:t>
            </w:r>
          </w:p>
        </w:tc>
        <w:tc>
          <w:tcPr>
            <w:tcW w:w="575" w:type="pct"/>
            <w:tcBorders>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2.738,0</w:t>
            </w:r>
          </w:p>
        </w:tc>
        <w:tc>
          <w:tcPr>
            <w:tcW w:w="579" w:type="pct"/>
            <w:tcBorders>
              <w:lef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2.590,9</w:t>
            </w:r>
          </w:p>
        </w:tc>
      </w:tr>
      <w:tr w:rsidR="007D4A93" w:rsidRPr="00654E3B">
        <w:trPr>
          <w:cantSplit/>
          <w:trHeight w:val="312"/>
        </w:trPr>
        <w:tc>
          <w:tcPr>
            <w:tcW w:w="969" w:type="pct"/>
            <w:tcBorders>
              <w:left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Poljoprivreda</w:t>
            </w:r>
          </w:p>
        </w:tc>
        <w:tc>
          <w:tcPr>
            <w:tcW w:w="576"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4.423,5</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3.042,4</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3.056,3</w:t>
            </w:r>
          </w:p>
        </w:tc>
        <w:tc>
          <w:tcPr>
            <w:tcW w:w="575" w:type="pct"/>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2.722,3</w:t>
            </w:r>
          </w:p>
        </w:tc>
        <w:tc>
          <w:tcPr>
            <w:tcW w:w="575" w:type="pct"/>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2.678,8</w:t>
            </w:r>
          </w:p>
        </w:tc>
        <w:tc>
          <w:tcPr>
            <w:tcW w:w="575" w:type="pct"/>
            <w:tcBorders>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2.805,1</w:t>
            </w:r>
          </w:p>
        </w:tc>
        <w:tc>
          <w:tcPr>
            <w:tcW w:w="579" w:type="pct"/>
            <w:tcBorders>
              <w:lef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2.720,37</w:t>
            </w:r>
          </w:p>
        </w:tc>
      </w:tr>
      <w:tr w:rsidR="007D4A93" w:rsidRPr="00654E3B">
        <w:trPr>
          <w:cantSplit/>
          <w:trHeight w:val="312"/>
        </w:trPr>
        <w:tc>
          <w:tcPr>
            <w:tcW w:w="969" w:type="pct"/>
            <w:tcBorders>
              <w:left w:val="single" w:sz="6" w:space="0" w:color="4F81BD"/>
              <w:bottom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LULUCF</w:t>
            </w:r>
          </w:p>
        </w:tc>
        <w:tc>
          <w:tcPr>
            <w:tcW w:w="576"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-6.421,4</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-6.950,4</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-6.926,0</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-5.122,1</w:t>
            </w:r>
          </w:p>
        </w:tc>
        <w:tc>
          <w:tcPr>
            <w:tcW w:w="575" w:type="pct"/>
            <w:tcBorders>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-5.179,07</w:t>
            </w:r>
          </w:p>
        </w:tc>
        <w:tc>
          <w:tcPr>
            <w:tcW w:w="575" w:type="pct"/>
            <w:tcBorders>
              <w:bottom w:val="single" w:sz="6" w:space="0" w:color="4F81BD"/>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-4.489,6</w:t>
            </w:r>
          </w:p>
        </w:tc>
        <w:tc>
          <w:tcPr>
            <w:tcW w:w="579" w:type="pct"/>
            <w:tcBorders>
              <w:left w:val="single" w:sz="4" w:space="0" w:color="4F81BD"/>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-5.094,2</w:t>
            </w:r>
          </w:p>
        </w:tc>
      </w:tr>
      <w:tr w:rsidR="007D4A93" w:rsidRPr="00654E3B">
        <w:trPr>
          <w:cantSplit/>
          <w:trHeight w:val="312"/>
        </w:trPr>
        <w:tc>
          <w:tcPr>
            <w:tcW w:w="969" w:type="pct"/>
            <w:tcBorders>
              <w:left w:val="single" w:sz="6" w:space="0" w:color="4F81BD"/>
              <w:bottom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lastRenderedPageBreak/>
              <w:t>Otpad</w:t>
            </w:r>
          </w:p>
        </w:tc>
        <w:tc>
          <w:tcPr>
            <w:tcW w:w="576"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1.051,4</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1.339,4</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1.910,9</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1.954,6</w:t>
            </w:r>
          </w:p>
        </w:tc>
        <w:tc>
          <w:tcPr>
            <w:tcW w:w="575" w:type="pct"/>
            <w:tcBorders>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2.098,1</w:t>
            </w:r>
          </w:p>
        </w:tc>
        <w:tc>
          <w:tcPr>
            <w:tcW w:w="575" w:type="pct"/>
            <w:tcBorders>
              <w:bottom w:val="single" w:sz="6" w:space="0" w:color="4F81BD"/>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2.100,9</w:t>
            </w:r>
          </w:p>
        </w:tc>
        <w:tc>
          <w:tcPr>
            <w:tcW w:w="579" w:type="pct"/>
            <w:tcBorders>
              <w:left w:val="single" w:sz="4" w:space="0" w:color="4F81BD"/>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2.038,6</w:t>
            </w:r>
          </w:p>
        </w:tc>
      </w:tr>
      <w:tr w:rsidR="007D4A93" w:rsidRPr="00654E3B">
        <w:trPr>
          <w:cantSplit/>
          <w:trHeight w:val="312"/>
        </w:trPr>
        <w:tc>
          <w:tcPr>
            <w:tcW w:w="969" w:type="pct"/>
            <w:tcBorders>
              <w:left w:val="single" w:sz="6" w:space="0" w:color="4F81BD"/>
              <w:bottom w:val="single" w:sz="6" w:space="0" w:color="4F81BD"/>
            </w:tcBorders>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Ostalo</w:t>
            </w:r>
          </w:p>
        </w:tc>
        <w:tc>
          <w:tcPr>
            <w:tcW w:w="576"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tcBorders>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5" w:type="pct"/>
            <w:tcBorders>
              <w:bottom w:val="single" w:sz="6" w:space="0" w:color="4F81BD"/>
              <w:right w:val="single" w:sz="4"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c>
          <w:tcPr>
            <w:tcW w:w="579" w:type="pct"/>
            <w:tcBorders>
              <w:left w:val="single" w:sz="4" w:space="0" w:color="4F81BD"/>
              <w:bottom w:val="single" w:sz="6" w:space="0" w:color="4F81BD"/>
            </w:tcBorders>
            <w:shd w:val="clear" w:color="auto" w:fill="auto"/>
          </w:tcPr>
          <w:p w:rsidR="007D4A93" w:rsidRPr="00654E3B" w:rsidRDefault="00EF0BEB">
            <w:pPr>
              <w:spacing w:line="360" w:lineRule="auto"/>
              <w:jc w:val="right"/>
              <w:rPr>
                <w:rFonts w:eastAsia="Times New Roman" w:cs="Times New Roman"/>
                <w:sz w:val="20"/>
                <w:lang w:eastAsia="hr-HR"/>
              </w:rPr>
            </w:pPr>
            <w:r w:rsidRPr="00654E3B">
              <w:rPr>
                <w:rFonts w:eastAsia="Times New Roman" w:cs="Times New Roman"/>
                <w:sz w:val="20"/>
                <w:lang w:eastAsia="hr-HR"/>
              </w:rPr>
              <w:t>NE</w:t>
            </w:r>
          </w:p>
        </w:tc>
      </w:tr>
      <w:tr w:rsidR="007D4A93" w:rsidRPr="00654E3B">
        <w:trPr>
          <w:cantSplit/>
          <w:trHeight w:val="312"/>
        </w:trPr>
        <w:tc>
          <w:tcPr>
            <w:tcW w:w="969" w:type="pct"/>
            <w:tcBorders>
              <w:left w:val="single" w:sz="6" w:space="0" w:color="4F81BD"/>
            </w:tcBorders>
            <w:shd w:val="clear" w:color="auto" w:fill="DBE5F1"/>
          </w:tcPr>
          <w:p w:rsidR="007D4A93" w:rsidRPr="00654E3B" w:rsidRDefault="00EF0BEB">
            <w:pPr>
              <w:spacing w:line="240" w:lineRule="auto"/>
              <w:jc w:val="left"/>
              <w:rPr>
                <w:rFonts w:eastAsia="Times New Roman" w:cs="Times New Roman"/>
                <w:b/>
                <w:sz w:val="20"/>
                <w:lang w:eastAsia="hr-HR"/>
              </w:rPr>
            </w:pPr>
            <w:r w:rsidRPr="00654E3B">
              <w:rPr>
                <w:rFonts w:eastAsia="Times New Roman" w:cs="Times New Roman"/>
                <w:b/>
                <w:sz w:val="20"/>
                <w:lang w:eastAsia="hr-HR"/>
              </w:rPr>
              <w:t>Ukupna emisija (uključujući neto CO</w:t>
            </w:r>
            <w:r w:rsidRPr="00654E3B">
              <w:rPr>
                <w:rFonts w:eastAsia="Times New Roman" w:cs="Times New Roman"/>
                <w:b/>
                <w:sz w:val="20"/>
                <w:vertAlign w:val="subscript"/>
                <w:lang w:eastAsia="hr-HR"/>
              </w:rPr>
              <w:t>2</w:t>
            </w:r>
            <w:r w:rsidRPr="00654E3B">
              <w:rPr>
                <w:rFonts w:eastAsia="Times New Roman" w:cs="Times New Roman"/>
                <w:b/>
                <w:sz w:val="20"/>
                <w:lang w:eastAsia="hr-HR"/>
              </w:rPr>
              <w:t xml:space="preserve"> iz LULUCF)</w:t>
            </w:r>
          </w:p>
        </w:tc>
        <w:tc>
          <w:tcPr>
            <w:tcW w:w="576"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25.454,4</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18.758,5</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21.107,7</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19.003,2</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19.095,6</w:t>
            </w:r>
          </w:p>
        </w:tc>
        <w:tc>
          <w:tcPr>
            <w:tcW w:w="575" w:type="pct"/>
            <w:tcBorders>
              <w:right w:val="single" w:sz="4" w:space="0" w:color="4F81BD"/>
            </w:tcBorders>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20.542,5</w:t>
            </w:r>
          </w:p>
        </w:tc>
        <w:tc>
          <w:tcPr>
            <w:tcW w:w="579" w:type="pct"/>
            <w:tcBorders>
              <w:left w:val="single" w:sz="4" w:space="0" w:color="4F81BD"/>
            </w:tcBorders>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18.698,6</w:t>
            </w:r>
          </w:p>
        </w:tc>
      </w:tr>
      <w:tr w:rsidR="007D4A93" w:rsidRPr="00654E3B">
        <w:trPr>
          <w:cantSplit/>
          <w:trHeight w:val="312"/>
        </w:trPr>
        <w:tc>
          <w:tcPr>
            <w:tcW w:w="969" w:type="pct"/>
            <w:tcBorders>
              <w:left w:val="single" w:sz="6" w:space="0" w:color="4F81BD"/>
            </w:tcBorders>
            <w:shd w:val="clear" w:color="auto" w:fill="DBE5F1"/>
          </w:tcPr>
          <w:p w:rsidR="007D4A93" w:rsidRPr="00654E3B" w:rsidRDefault="00EF0BEB">
            <w:pPr>
              <w:spacing w:line="240" w:lineRule="auto"/>
              <w:jc w:val="left"/>
              <w:rPr>
                <w:rFonts w:eastAsia="Times New Roman" w:cs="Times New Roman"/>
                <w:b/>
                <w:sz w:val="20"/>
                <w:lang w:eastAsia="hr-HR"/>
              </w:rPr>
            </w:pPr>
            <w:r w:rsidRPr="00654E3B">
              <w:rPr>
                <w:rFonts w:eastAsia="Times New Roman" w:cs="Times New Roman"/>
                <w:b/>
                <w:sz w:val="20"/>
                <w:lang w:eastAsia="hr-HR"/>
              </w:rPr>
              <w:t>Ukupna emisija (isključujući neto CO</w:t>
            </w:r>
            <w:r w:rsidRPr="00654E3B">
              <w:rPr>
                <w:rFonts w:eastAsia="Times New Roman" w:cs="Times New Roman"/>
                <w:b/>
                <w:sz w:val="20"/>
                <w:vertAlign w:val="subscript"/>
                <w:lang w:eastAsia="hr-HR"/>
              </w:rPr>
              <w:t>2</w:t>
            </w:r>
            <w:r w:rsidRPr="00654E3B">
              <w:rPr>
                <w:rFonts w:eastAsia="Times New Roman" w:cs="Times New Roman"/>
                <w:b/>
                <w:sz w:val="20"/>
                <w:lang w:eastAsia="hr-HR"/>
              </w:rPr>
              <w:t xml:space="preserve"> iz LULUCF)</w:t>
            </w:r>
          </w:p>
        </w:tc>
        <w:tc>
          <w:tcPr>
            <w:tcW w:w="576"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31.875,82</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25.708,8</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28.033,7</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24.125,3</w:t>
            </w:r>
          </w:p>
        </w:tc>
        <w:tc>
          <w:tcPr>
            <w:tcW w:w="575" w:type="pct"/>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24.275,3</w:t>
            </w:r>
          </w:p>
        </w:tc>
        <w:tc>
          <w:tcPr>
            <w:tcW w:w="575" w:type="pct"/>
            <w:tcBorders>
              <w:right w:val="single" w:sz="4" w:space="0" w:color="4F81BD"/>
            </w:tcBorders>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25.032,1</w:t>
            </w:r>
          </w:p>
        </w:tc>
        <w:tc>
          <w:tcPr>
            <w:tcW w:w="579" w:type="pct"/>
            <w:tcBorders>
              <w:left w:val="single" w:sz="4" w:space="0" w:color="4F81BD"/>
            </w:tcBorders>
            <w:shd w:val="clear" w:color="auto" w:fill="DBE5F1"/>
            <w:vAlign w:val="center"/>
          </w:tcPr>
          <w:p w:rsidR="007D4A93" w:rsidRPr="00654E3B" w:rsidRDefault="00EF0BEB">
            <w:pPr>
              <w:spacing w:line="360" w:lineRule="auto"/>
              <w:jc w:val="right"/>
              <w:rPr>
                <w:rFonts w:eastAsia="Times New Roman" w:cs="Times New Roman"/>
                <w:b/>
                <w:sz w:val="20"/>
                <w:lang w:eastAsia="hr-HR"/>
              </w:rPr>
            </w:pPr>
            <w:r w:rsidRPr="00654E3B">
              <w:rPr>
                <w:rFonts w:eastAsia="Times New Roman" w:cs="Times New Roman"/>
                <w:b/>
                <w:sz w:val="20"/>
                <w:lang w:eastAsia="hr-HR"/>
              </w:rPr>
              <w:t>23.792,8</w:t>
            </w:r>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Najveći doprinos emisiji stakleničkih plinova u 2018. godini, isključujući </w:t>
      </w:r>
      <w:r w:rsidR="00BF4CA8" w:rsidRPr="00654E3B">
        <w:rPr>
          <w:rFonts w:cs="Times New Roman"/>
        </w:rPr>
        <w:t>ponor</w:t>
      </w:r>
      <w:r w:rsidRPr="00654E3B">
        <w:rPr>
          <w:rFonts w:cs="Times New Roman"/>
        </w:rPr>
        <w:t>e, imao je sektor energetike s 69,3</w:t>
      </w:r>
      <w:r w:rsidR="00060992" w:rsidRPr="00654E3B">
        <w:rPr>
          <w:rFonts w:cs="Times New Roman"/>
        </w:rPr>
        <w:t xml:space="preserve"> %</w:t>
      </w:r>
      <w:r w:rsidRPr="00654E3B">
        <w:rPr>
          <w:rFonts w:cs="Times New Roman"/>
        </w:rPr>
        <w:t xml:space="preserve">, slijedi sektor </w:t>
      </w:r>
      <w:r w:rsidR="003A6B35" w:rsidRPr="00654E3B">
        <w:rPr>
          <w:rFonts w:cs="Times New Roman"/>
        </w:rPr>
        <w:t xml:space="preserve">poljoprivrede </w:t>
      </w:r>
      <w:r w:rsidRPr="00654E3B">
        <w:rPr>
          <w:rFonts w:cs="Times New Roman"/>
        </w:rPr>
        <w:t>s 11,2</w:t>
      </w:r>
      <w:r w:rsidR="00060992" w:rsidRPr="00654E3B">
        <w:rPr>
          <w:rFonts w:cs="Times New Roman"/>
        </w:rPr>
        <w:t xml:space="preserve"> %</w:t>
      </w:r>
      <w:r w:rsidRPr="00654E3B">
        <w:rPr>
          <w:rFonts w:cs="Times New Roman"/>
        </w:rPr>
        <w:t>, industrijski procesi i uporaba proizvoda s 10.9</w:t>
      </w:r>
      <w:r w:rsidR="00060992" w:rsidRPr="00654E3B">
        <w:rPr>
          <w:rFonts w:cs="Times New Roman"/>
        </w:rPr>
        <w:t xml:space="preserve"> %</w:t>
      </w:r>
      <w:r w:rsidRPr="00654E3B">
        <w:rPr>
          <w:rFonts w:cs="Times New Roman"/>
        </w:rPr>
        <w:t xml:space="preserve"> i sektor otpad s 8,6</w:t>
      </w:r>
      <w:r w:rsidR="00060992" w:rsidRPr="00654E3B">
        <w:rPr>
          <w:rFonts w:cs="Times New Roman"/>
        </w:rPr>
        <w:t xml:space="preserve"> %</w:t>
      </w:r>
      <w:r w:rsidRPr="00654E3B">
        <w:rPr>
          <w:rFonts w:cs="Times New Roman"/>
        </w:rPr>
        <w:t xml:space="preserve">. Ova struktura je, uz neznatne promjene, zadržana tijekom cijelog razdoblja 1990. - 2018. godine. U 2018. godini ukupna emisija stakleničkih plinova u Hrvatskoj je iznosila 23.792,8 kt CO2-eq isključujući </w:t>
      </w:r>
      <w:r w:rsidR="00BF4CA8" w:rsidRPr="00654E3B">
        <w:rPr>
          <w:rFonts w:cs="Times New Roman"/>
        </w:rPr>
        <w:t>ponor</w:t>
      </w:r>
      <w:r w:rsidRPr="00654E3B">
        <w:rPr>
          <w:rFonts w:cs="Times New Roman"/>
        </w:rPr>
        <w:t>e (LULUCF sektor), dok je ukupna emisija kada se uključi LULUCF sektor</w:t>
      </w:r>
      <w:r w:rsidR="003A6B35" w:rsidRPr="00654E3B">
        <w:rPr>
          <w:rFonts w:cs="Times New Roman"/>
        </w:rPr>
        <w:t>,</w:t>
      </w:r>
      <w:r w:rsidRPr="00654E3B">
        <w:rPr>
          <w:rFonts w:cs="Times New Roman"/>
        </w:rPr>
        <w:t xml:space="preserve"> iznosila 18.698,6 kt CO2-eq, što predstavlja </w:t>
      </w:r>
      <w:r w:rsidR="00BF4CA8" w:rsidRPr="00654E3B">
        <w:rPr>
          <w:rFonts w:cs="Times New Roman"/>
        </w:rPr>
        <w:t>ponor</w:t>
      </w:r>
      <w:r w:rsidRPr="00654E3B">
        <w:rPr>
          <w:rFonts w:cs="Times New Roman"/>
        </w:rPr>
        <w:t xml:space="preserve"> od 21,4</w:t>
      </w:r>
      <w:r w:rsidR="00060992" w:rsidRPr="00654E3B">
        <w:rPr>
          <w:rFonts w:cs="Times New Roman"/>
        </w:rPr>
        <w:t xml:space="preserve"> %</w:t>
      </w:r>
      <w:r w:rsidRPr="00654E3B">
        <w:rPr>
          <w:rFonts w:cs="Times New Roman"/>
        </w:rPr>
        <w:t xml:space="preserve"> u 2018. godini.</w:t>
      </w:r>
    </w:p>
    <w:p w:rsidR="007D4A93" w:rsidRPr="00654E3B" w:rsidRDefault="00EF0BEB">
      <w:pPr>
        <w:rPr>
          <w:rFonts w:cs="Times New Roman"/>
        </w:rPr>
      </w:pPr>
      <w:r w:rsidRPr="00654E3B">
        <w:rPr>
          <w:rFonts w:cs="Times New Roman"/>
        </w:rPr>
        <w:t>Opći pad gospodarskih aktivnosti i potrošnje energije u razdoblju od 1991. do 1994. godine u Republici Hrvatskoj, primarno zbog ratnih zbivanja, uzrokovao je pad ukupnih emisija stakleničkih plinova u tom razdoblju. Budući je čitavo nacionalno gospodarstvo tada bilo u procesu tranzicije, neke energetski intenzivne industrije smanjile su svoje aktivnosti ili su čak prekinule s proizvodnjom što se značajno odrazilo na smanjenje emisija stakleničkih plinova. Emisije su počele rasti 1995. godine, s prosječnom stopom od 3</w:t>
      </w:r>
      <w:r w:rsidR="00060992" w:rsidRPr="00654E3B">
        <w:rPr>
          <w:rFonts w:cs="Times New Roman"/>
        </w:rPr>
        <w:t xml:space="preserve"> %</w:t>
      </w:r>
      <w:r w:rsidRPr="00654E3B">
        <w:rPr>
          <w:rFonts w:cs="Times New Roman"/>
        </w:rPr>
        <w:t xml:space="preserve"> godišnje do 2008. godine. Zbog smanjenja gospodarske aktivnosti u razdoblju od 2008. godine</w:t>
      </w:r>
      <w:r w:rsidR="003A6B35" w:rsidRPr="00654E3B">
        <w:rPr>
          <w:rFonts w:cs="Times New Roman"/>
        </w:rPr>
        <w:t>,</w:t>
      </w:r>
      <w:r w:rsidRPr="00654E3B">
        <w:rPr>
          <w:rFonts w:cs="Times New Roman"/>
        </w:rPr>
        <w:t xml:space="preserve"> emisije stakleničkih plinova su se konstantno smanjivale do 2014. godine kada su počele sporo rasti. </w:t>
      </w:r>
    </w:p>
    <w:p w:rsidR="007D4A93" w:rsidRPr="00654E3B" w:rsidRDefault="00EF0BEB">
      <w:pPr>
        <w:rPr>
          <w:rFonts w:cs="Times New Roman"/>
        </w:rPr>
      </w:pPr>
      <w:r w:rsidRPr="00654E3B">
        <w:rPr>
          <w:rFonts w:cs="Times New Roman"/>
        </w:rPr>
        <w:t xml:space="preserve">Najveći razlog porastu emisija u razdoblju od 1995. do 2008. godine je sektor energetika (proizvodnja električne energije i topline, promet te potrošnja energije za grijanje i hlađenje zgrada), industrijski procesi i uporaba proizvoda (proizvodnja cementa, proizvodnja vapna, proizvodnja amonijaka, proizvodnja dušične kiseline, potrošnja halogeniranih ugljikovodika) te sektor otpad.  </w:t>
      </w:r>
    </w:p>
    <w:p w:rsidR="007D4A93" w:rsidRPr="00654E3B" w:rsidRDefault="00EF0BEB">
      <w:pPr>
        <w:rPr>
          <w:rFonts w:cs="Times New Roman"/>
        </w:rPr>
      </w:pPr>
      <w:r w:rsidRPr="00654E3B">
        <w:rPr>
          <w:rFonts w:cs="Times New Roman"/>
        </w:rPr>
        <w:t>Osnovni razlozi smanjenja emisija stakleničkih plinova u razdoblju od 2008. do 2016. godine su gospodarska kriza</w:t>
      </w:r>
      <w:r w:rsidR="003A6B35" w:rsidRPr="00654E3B">
        <w:rPr>
          <w:rFonts w:cs="Times New Roman"/>
        </w:rPr>
        <w:t>,</w:t>
      </w:r>
      <w:r w:rsidRPr="00654E3B">
        <w:rPr>
          <w:rFonts w:cs="Times New Roman"/>
        </w:rPr>
        <w:t xml:space="preserve"> kao i početak primjene mjera za smanjenje emisije CO</w:t>
      </w:r>
      <w:r w:rsidRPr="00654E3B">
        <w:rPr>
          <w:rFonts w:cs="Times New Roman"/>
          <w:vertAlign w:val="subscript"/>
        </w:rPr>
        <w:t>2</w:t>
      </w:r>
      <w:r w:rsidRPr="00654E3B">
        <w:rPr>
          <w:rFonts w:cs="Times New Roman"/>
        </w:rPr>
        <w:t xml:space="preserve"> prema Nacionalnom akcijskom planu energetske učinkovitosti za razdoblje od 2014. do 2016. godine. </w:t>
      </w:r>
    </w:p>
    <w:p w:rsidR="007D4A93" w:rsidRPr="00654E3B" w:rsidRDefault="00EF0BEB">
      <w:pPr>
        <w:rPr>
          <w:rFonts w:cs="Times New Roman"/>
        </w:rPr>
      </w:pPr>
      <w:r w:rsidRPr="00654E3B">
        <w:rPr>
          <w:rFonts w:cs="Times New Roman"/>
        </w:rPr>
        <w:t>Trend kretanja emisije pojedinih stakleničkih plinova prikazan je na slici 2-2.</w:t>
      </w:r>
    </w:p>
    <w:p w:rsidR="007D4A93" w:rsidRPr="00F01191" w:rsidRDefault="00EF0BEB">
      <w:pPr>
        <w:pStyle w:val="Slika"/>
        <w:spacing w:before="120"/>
        <w:jc w:val="center"/>
        <w:rPr>
          <w:rFonts w:ascii="Times New Roman" w:hAnsi="Times New Roman"/>
          <w:i/>
        </w:rPr>
      </w:pPr>
      <w:bookmarkStart w:id="146" w:name="_Toc33417096"/>
      <w:r w:rsidRPr="00F01191">
        <w:rPr>
          <w:rFonts w:ascii="Times New Roman" w:hAnsi="Times New Roman"/>
          <w:noProof/>
          <w:lang w:val="en-US"/>
        </w:rPr>
        <w:lastRenderedPageBreak/>
        <w:drawing>
          <wp:inline distT="0" distB="0" distL="0" distR="0" wp14:anchorId="75DB240B" wp14:editId="7302B015">
            <wp:extent cx="3761232" cy="2468880"/>
            <wp:effectExtent l="0" t="0" r="0" b="7620"/>
            <wp:docPr id="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jpg"/>
                    <pic:cNvPicPr>
                      <a:picLocks noChangeAspect="1"/>
                    </pic:cNvPicPr>
                  </pic:nvPicPr>
                  <pic:blipFill>
                    <a:blip r:embed="rId13"/>
                    <a:stretch/>
                  </pic:blipFill>
                  <pic:spPr bwMode="auto">
                    <a:xfrm>
                      <a:off x="0" y="0"/>
                      <a:ext cx="3761232" cy="2468880"/>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2-2: Trend emisija stakleničkih plinova po plinovima</w:t>
      </w:r>
      <w:bookmarkEnd w:id="146"/>
    </w:p>
    <w:p w:rsidR="007D4A93" w:rsidRPr="00654E3B" w:rsidRDefault="00EF0BEB">
      <w:pPr>
        <w:rPr>
          <w:rFonts w:cs="Times New Roman"/>
        </w:rPr>
      </w:pPr>
      <w:r w:rsidRPr="00654E3B">
        <w:rPr>
          <w:rFonts w:cs="Times New Roman"/>
        </w:rPr>
        <w:t>Najveći doprinos emisij</w:t>
      </w:r>
      <w:r w:rsidR="003A6B35" w:rsidRPr="00654E3B">
        <w:rPr>
          <w:rFonts w:cs="Times New Roman"/>
        </w:rPr>
        <w:t>ama</w:t>
      </w:r>
      <w:r w:rsidRPr="00654E3B">
        <w:rPr>
          <w:rFonts w:cs="Times New Roman"/>
        </w:rPr>
        <w:t xml:space="preserve"> stakleničkih plinova u 2018. godini, imala je emisija ugljikovog dioksida (CO</w:t>
      </w:r>
      <w:r w:rsidRPr="00654E3B">
        <w:rPr>
          <w:rFonts w:cs="Times New Roman"/>
          <w:vertAlign w:val="subscript"/>
        </w:rPr>
        <w:t>2</w:t>
      </w:r>
      <w:r w:rsidRPr="00654E3B">
        <w:rPr>
          <w:rFonts w:cs="Times New Roman"/>
        </w:rPr>
        <w:t>) sa 74,5</w:t>
      </w:r>
      <w:r w:rsidR="00060992" w:rsidRPr="00654E3B">
        <w:rPr>
          <w:rFonts w:cs="Times New Roman"/>
        </w:rPr>
        <w:t xml:space="preserve"> %</w:t>
      </w:r>
      <w:r w:rsidRPr="00654E3B">
        <w:rPr>
          <w:rFonts w:cs="Times New Roman"/>
        </w:rPr>
        <w:t>. Slijedi emisija metana (CH</w:t>
      </w:r>
      <w:r w:rsidRPr="00654E3B">
        <w:rPr>
          <w:rFonts w:cs="Times New Roman"/>
          <w:vertAlign w:val="subscript"/>
        </w:rPr>
        <w:t>4</w:t>
      </w:r>
      <w:r w:rsidRPr="00654E3B">
        <w:rPr>
          <w:rFonts w:cs="Times New Roman"/>
        </w:rPr>
        <w:t>) s</w:t>
      </w:r>
      <w:r w:rsidR="00CB4E40" w:rsidRPr="00654E3B">
        <w:rPr>
          <w:rFonts w:cs="Times New Roman"/>
        </w:rPr>
        <w:t>a</w:t>
      </w:r>
      <w:r w:rsidRPr="00654E3B">
        <w:rPr>
          <w:rFonts w:cs="Times New Roman"/>
        </w:rPr>
        <w:t xml:space="preserve"> 16,3</w:t>
      </w:r>
      <w:r w:rsidR="00060992" w:rsidRPr="00654E3B">
        <w:rPr>
          <w:rFonts w:cs="Times New Roman"/>
        </w:rPr>
        <w:t xml:space="preserve"> %</w:t>
      </w:r>
      <w:r w:rsidRPr="00654E3B">
        <w:rPr>
          <w:rFonts w:cs="Times New Roman"/>
        </w:rPr>
        <w:t>, didušikova oksida (N</w:t>
      </w:r>
      <w:r w:rsidRPr="00654E3B">
        <w:rPr>
          <w:rFonts w:cs="Times New Roman"/>
          <w:vertAlign w:val="subscript"/>
        </w:rPr>
        <w:t>2</w:t>
      </w:r>
      <w:r w:rsidRPr="00654E3B">
        <w:rPr>
          <w:rFonts w:cs="Times New Roman"/>
        </w:rPr>
        <w:t>O) s</w:t>
      </w:r>
      <w:r w:rsidR="00CB4E40" w:rsidRPr="00654E3B">
        <w:rPr>
          <w:rFonts w:cs="Times New Roman"/>
        </w:rPr>
        <w:t>a</w:t>
      </w:r>
      <w:r w:rsidRPr="00654E3B">
        <w:rPr>
          <w:rFonts w:cs="Times New Roman"/>
        </w:rPr>
        <w:t xml:space="preserve"> 7,1</w:t>
      </w:r>
      <w:r w:rsidR="00060992" w:rsidRPr="00654E3B">
        <w:rPr>
          <w:rFonts w:cs="Times New Roman"/>
        </w:rPr>
        <w:t xml:space="preserve"> %</w:t>
      </w:r>
      <w:r w:rsidRPr="00654E3B">
        <w:rPr>
          <w:rFonts w:cs="Times New Roman"/>
        </w:rPr>
        <w:t xml:space="preserve"> te emisija fluoriranih ugljikovodika s 2,1</w:t>
      </w:r>
      <w:r w:rsidR="00060992" w:rsidRPr="00654E3B">
        <w:rPr>
          <w:rFonts w:cs="Times New Roman"/>
        </w:rPr>
        <w:t xml:space="preserve"> %</w:t>
      </w:r>
      <w:r w:rsidRPr="00654E3B">
        <w:rPr>
          <w:rFonts w:cs="Times New Roman"/>
        </w:rPr>
        <w:t>. Opisana struktura prisutna je, tijekom cijelog razdoblja od 1990. godine.</w:t>
      </w:r>
    </w:p>
    <w:p w:rsidR="007D4A93" w:rsidRPr="00654E3B" w:rsidRDefault="00EF0BEB" w:rsidP="009F6651">
      <w:pPr>
        <w:pStyle w:val="Heading3"/>
      </w:pPr>
      <w:bookmarkStart w:id="147" w:name="_Toc69810151"/>
      <w:r w:rsidRPr="00654E3B">
        <w:t>2.3.2.</w:t>
      </w:r>
      <w:r w:rsidRPr="00654E3B">
        <w:tab/>
        <w:t>Trend emisija s obzirom na sustav trgovanja emisijskim jedinicama (ETS)</w:t>
      </w:r>
      <w:bookmarkEnd w:id="147"/>
    </w:p>
    <w:p w:rsidR="007D4A93" w:rsidRPr="00654E3B" w:rsidRDefault="007D4A93">
      <w:pPr>
        <w:rPr>
          <w:rFonts w:cs="Times New Roman"/>
        </w:rPr>
      </w:pPr>
    </w:p>
    <w:p w:rsidR="007D4A93" w:rsidRPr="00654E3B" w:rsidRDefault="00EF0BEB">
      <w:pPr>
        <w:rPr>
          <w:rFonts w:cs="Times New Roman"/>
          <w:szCs w:val="24"/>
        </w:rPr>
      </w:pPr>
      <w:r w:rsidRPr="00654E3B">
        <w:rPr>
          <w:rFonts w:cs="Times New Roman"/>
        </w:rPr>
        <w:t>Republika Hrvatska postala je obveznica</w:t>
      </w:r>
      <w:r w:rsidR="00CB4E40" w:rsidRPr="00654E3B">
        <w:rPr>
          <w:rFonts w:cs="Times New Roman"/>
        </w:rPr>
        <w:t xml:space="preserve"> EU</w:t>
      </w:r>
      <w:r w:rsidRPr="00654E3B">
        <w:rPr>
          <w:rFonts w:cs="Times New Roman"/>
        </w:rPr>
        <w:t xml:space="preserve"> ETS sustava od 1. siječnja 2013. godine. </w:t>
      </w:r>
      <w:r w:rsidRPr="00654E3B">
        <w:rPr>
          <w:rFonts w:cs="Times New Roman"/>
          <w:szCs w:val="24"/>
        </w:rPr>
        <w:t xml:space="preserve">Obveznici sustava trgovanja emisijskim jedinicama stakleničkih plinova uključeni su tada u jedinstveni plan raspodjele emisijskih jedinica i obvezu kupovanja cjelokupnog ili djelomičnog iznosa emisijskih jedinica po modelu dražbe. </w:t>
      </w:r>
    </w:p>
    <w:p w:rsidR="007D4A93" w:rsidRPr="00654E3B" w:rsidRDefault="00EF0BEB">
      <w:pPr>
        <w:rPr>
          <w:rFonts w:cs="Times New Roman"/>
        </w:rPr>
      </w:pPr>
      <w:r w:rsidRPr="00654E3B">
        <w:rPr>
          <w:rFonts w:cs="Times New Roman"/>
        </w:rPr>
        <w:t xml:space="preserve">U Republici Hrvatskoj zastupljene su sljedeće djelatnosti EU ETS-a: izgaranje goriva, rafiniranje mineralnog ulja, proizvodnja sirovog željeza ili čelika, proizvodnja cementnog klinkera, proizvodnja vapna, proizvodnja stakla, proizvodnja keramičkih proizvoda, proizvodnja izolacijskih materijala od mineralne vune, proizvodnja papira i kartona, proizvodnja čađe, proizvodnja dušične kiseline, proizvodnja amonijaka i zrakoplovna djelatnost. Skoro polovica broja postrojenja uključena je u sustav na temelju djelatnosti izgaranja goriva. Ostala postrojenja su uključena prvenstveno na temelju njihove proizvodne djelatnosti, međutim i ona koriste gorivo za izgaranje. </w:t>
      </w:r>
    </w:p>
    <w:p w:rsidR="007D4A93" w:rsidRPr="00654E3B" w:rsidRDefault="00EF0BEB">
      <w:pPr>
        <w:keepNext/>
        <w:rPr>
          <w:rFonts w:cs="Times New Roman"/>
        </w:rPr>
      </w:pPr>
      <w:r w:rsidRPr="00654E3B">
        <w:rPr>
          <w:rFonts w:cs="Times New Roman"/>
        </w:rPr>
        <w:t xml:space="preserve">Na slici 2-3 prikazana je ukupna emisija stakleničkih plinova podijeljena na ETS te sektore izvan ETS-a. </w:t>
      </w:r>
    </w:p>
    <w:p w:rsidR="007D4A93" w:rsidRPr="00F01191" w:rsidRDefault="00EF0BEB">
      <w:pPr>
        <w:pStyle w:val="Slika"/>
        <w:spacing w:before="120"/>
        <w:jc w:val="center"/>
        <w:rPr>
          <w:rFonts w:ascii="Times New Roman" w:hAnsi="Times New Roman"/>
        </w:rPr>
      </w:pPr>
      <w:bookmarkStart w:id="148" w:name="_Toc484158366"/>
      <w:bookmarkStart w:id="149" w:name="_Toc436823623"/>
      <w:bookmarkStart w:id="150" w:name="_Toc33417097"/>
      <w:r w:rsidRPr="00F01191">
        <w:rPr>
          <w:rFonts w:ascii="Times New Roman" w:hAnsi="Times New Roman"/>
          <w:noProof/>
          <w:lang w:val="en-US"/>
        </w:rPr>
        <w:drawing>
          <wp:inline distT="0" distB="0" distL="0" distR="0" wp14:anchorId="4929F9A8" wp14:editId="6A5B8EC0">
            <wp:extent cx="3858768" cy="2401824"/>
            <wp:effectExtent l="0" t="0" r="8890" b="0"/>
            <wp:docPr id="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jpg"/>
                    <pic:cNvPicPr>
                      <a:picLocks noChangeAspect="1"/>
                    </pic:cNvPicPr>
                  </pic:nvPicPr>
                  <pic:blipFill>
                    <a:blip r:embed="rId14"/>
                    <a:stretch/>
                  </pic:blipFill>
                  <pic:spPr bwMode="auto">
                    <a:xfrm>
                      <a:off x="0" y="0"/>
                      <a:ext cx="3858768" cy="2401824"/>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2-3: Ukupna emisija stakleničkih plinova u ETS-u i sektorima izvan ETS-a</w:t>
      </w:r>
      <w:bookmarkEnd w:id="148"/>
      <w:bookmarkEnd w:id="149"/>
      <w:bookmarkEnd w:id="150"/>
    </w:p>
    <w:p w:rsidR="007D4A93" w:rsidRPr="00654E3B" w:rsidRDefault="00EF0BEB">
      <w:pPr>
        <w:rPr>
          <w:rFonts w:cs="Times New Roman"/>
        </w:rPr>
      </w:pPr>
      <w:r w:rsidRPr="00654E3B">
        <w:rPr>
          <w:rFonts w:cs="Times New Roman"/>
        </w:rPr>
        <w:lastRenderedPageBreak/>
        <w:t>Staklenički plinovi obuhvaćeni EU ETS-om koji su zastupljeni u Republici Hrvatskoj su CO</w:t>
      </w:r>
      <w:r w:rsidRPr="00654E3B">
        <w:rPr>
          <w:rFonts w:cs="Times New Roman"/>
          <w:vertAlign w:val="subscript"/>
        </w:rPr>
        <w:t>2</w:t>
      </w:r>
      <w:r w:rsidRPr="00654E3B">
        <w:rPr>
          <w:rFonts w:cs="Times New Roman"/>
        </w:rPr>
        <w:t xml:space="preserve"> i N</w:t>
      </w:r>
      <w:r w:rsidRPr="00654E3B">
        <w:rPr>
          <w:rFonts w:cs="Times New Roman"/>
          <w:vertAlign w:val="subscript"/>
        </w:rPr>
        <w:t>2</w:t>
      </w:r>
      <w:r w:rsidRPr="00654E3B">
        <w:rPr>
          <w:rFonts w:cs="Times New Roman"/>
        </w:rPr>
        <w:t>O, od kojih ovaj drugi nastaje samo kao rezultat proizvodnje dušične kiseline. U Republici Hrvatskoj je 2018</w:t>
      </w:r>
      <w:r w:rsidRPr="00F01191">
        <w:rPr>
          <w:rStyle w:val="FootnoteReference"/>
          <w:rFonts w:ascii="Times New Roman" w:hAnsi="Times New Roman" w:cs="Times New Roman"/>
        </w:rPr>
        <w:footnoteReference w:id="3"/>
      </w:r>
      <w:r w:rsidRPr="00F01191">
        <w:rPr>
          <w:rFonts w:cs="Times New Roman"/>
        </w:rPr>
        <w:t>. godine u radu bilo 5</w:t>
      </w:r>
      <w:r w:rsidR="00FB45C0" w:rsidRPr="00654E3B">
        <w:rPr>
          <w:rFonts w:cs="Times New Roman"/>
        </w:rPr>
        <w:t>3</w:t>
      </w:r>
      <w:r w:rsidRPr="00654E3B">
        <w:rPr>
          <w:rFonts w:cs="Times New Roman"/>
        </w:rPr>
        <w:t xml:space="preserve"> postrojenja uključenih u EU ETS i jedan operator zrakoplova, koji su odgovorni za 31,3</w:t>
      </w:r>
      <w:r w:rsidR="00060992" w:rsidRPr="00654E3B">
        <w:rPr>
          <w:rFonts w:cs="Times New Roman"/>
        </w:rPr>
        <w:t xml:space="preserve"> %</w:t>
      </w:r>
      <w:r w:rsidRPr="00654E3B">
        <w:rPr>
          <w:rFonts w:cs="Times New Roman"/>
        </w:rPr>
        <w:t xml:space="preserve"> ukupne emisije stakleničkih plinova Hrvatske.</w:t>
      </w:r>
    </w:p>
    <w:p w:rsidR="007D4A93" w:rsidRPr="00654E3B" w:rsidRDefault="00EF0BEB" w:rsidP="009F6651">
      <w:pPr>
        <w:pStyle w:val="Heading3"/>
      </w:pPr>
      <w:bookmarkStart w:id="151" w:name="_Toc476226498"/>
      <w:bookmarkStart w:id="152" w:name="_Toc475716124"/>
      <w:bookmarkStart w:id="153" w:name="_Toc475714711"/>
      <w:bookmarkStart w:id="154" w:name="_Toc436823695"/>
      <w:bookmarkStart w:id="155" w:name="_Toc477868465"/>
      <w:bookmarkStart w:id="156" w:name="_Toc478995863"/>
      <w:bookmarkStart w:id="157" w:name="_Toc484158967"/>
      <w:bookmarkStart w:id="158" w:name="_Toc69810152"/>
      <w:r w:rsidRPr="00654E3B">
        <w:t>2.3.3. Odvajanje trenda gospodarskog rasta od emisije stakleničkih plinova</w:t>
      </w:r>
      <w:bookmarkEnd w:id="151"/>
      <w:bookmarkEnd w:id="152"/>
      <w:bookmarkEnd w:id="153"/>
      <w:bookmarkEnd w:id="154"/>
      <w:bookmarkEnd w:id="155"/>
      <w:bookmarkEnd w:id="156"/>
      <w:bookmarkEnd w:id="157"/>
      <w:bookmarkEnd w:id="158"/>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Temeljni cilj Niskougljične strategije je odvajanje trenda gospodarskog rasta od emisija stakleničkih plinova. Na slici 2-4 je prikazan porast BDP-a, krivulja emisije stakleničkih plinova te krivulja intenziteta emisije stakleničkih plinova kao postotak vrijednosti iz 1995. godine. </w:t>
      </w:r>
    </w:p>
    <w:p w:rsidR="007D4A93" w:rsidRPr="00654E3B" w:rsidRDefault="007D4A93">
      <w:pPr>
        <w:spacing w:line="240" w:lineRule="auto"/>
        <w:jc w:val="center"/>
        <w:rPr>
          <w:rFonts w:cs="Times New Roman"/>
        </w:rPr>
      </w:pPr>
    </w:p>
    <w:p w:rsidR="007D4A93" w:rsidRPr="00F01191" w:rsidRDefault="00EF0BEB">
      <w:pPr>
        <w:pStyle w:val="Slika"/>
        <w:spacing w:before="120"/>
        <w:jc w:val="center"/>
        <w:rPr>
          <w:rFonts w:ascii="Times New Roman" w:hAnsi="Times New Roman"/>
        </w:rPr>
      </w:pPr>
      <w:bookmarkStart w:id="159" w:name="_Toc33417098"/>
      <w:r w:rsidRPr="00F01191">
        <w:rPr>
          <w:rFonts w:ascii="Times New Roman" w:hAnsi="Times New Roman"/>
          <w:noProof/>
          <w:lang w:val="en-US"/>
        </w:rPr>
        <w:drawing>
          <wp:inline distT="0" distB="0" distL="0" distR="0" wp14:anchorId="55804B18" wp14:editId="35CDAE69">
            <wp:extent cx="4456176" cy="2078736"/>
            <wp:effectExtent l="0" t="0" r="1905" b="0"/>
            <wp:docPr id="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jpg"/>
                    <pic:cNvPicPr>
                      <a:picLocks noChangeAspect="1"/>
                    </pic:cNvPicPr>
                  </pic:nvPicPr>
                  <pic:blipFill>
                    <a:blip r:embed="rId15"/>
                    <a:stretch/>
                  </pic:blipFill>
                  <pic:spPr bwMode="auto">
                    <a:xfrm>
                      <a:off x="0" y="0"/>
                      <a:ext cx="4456176" cy="2078736"/>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2-4: Trend BDP-a, emisija stakleničkih plinova i krivulja intenziteta emisije stakleničkih plinova</w:t>
      </w:r>
      <w:bookmarkEnd w:id="159"/>
      <w:r w:rsidRPr="00654E3B">
        <w:rPr>
          <w:rFonts w:ascii="Times New Roman" w:hAnsi="Times New Roman"/>
          <w:i/>
        </w:rPr>
        <w:t xml:space="preserve"> </w:t>
      </w:r>
    </w:p>
    <w:p w:rsidR="007D4A93" w:rsidRPr="00654E3B" w:rsidRDefault="00EF0BEB">
      <w:pPr>
        <w:rPr>
          <w:rFonts w:cs="Times New Roman"/>
        </w:rPr>
      </w:pPr>
      <w:r w:rsidRPr="00654E3B">
        <w:rPr>
          <w:rFonts w:cs="Times New Roman"/>
        </w:rPr>
        <w:t>Vidi se početak razdvajanja gospodarskog razvoja od emisija stakleničkih plinova od 2003. godine. Intenzitet emisije po BDP-u se smanjio za 34</w:t>
      </w:r>
      <w:r w:rsidR="00060992" w:rsidRPr="00654E3B">
        <w:rPr>
          <w:rFonts w:cs="Times New Roman"/>
        </w:rPr>
        <w:t xml:space="preserve"> %</w:t>
      </w:r>
      <w:r w:rsidRPr="00654E3B">
        <w:rPr>
          <w:rFonts w:cs="Times New Roman"/>
        </w:rPr>
        <w:t xml:space="preserve"> u razdoblju od 2004. do 2018. godine, odnosno za oko 2,5</w:t>
      </w:r>
      <w:r w:rsidR="00060992" w:rsidRPr="00654E3B">
        <w:rPr>
          <w:rFonts w:cs="Times New Roman"/>
        </w:rPr>
        <w:t xml:space="preserve"> %</w:t>
      </w:r>
      <w:r w:rsidRPr="00654E3B">
        <w:rPr>
          <w:rFonts w:cs="Times New Roman"/>
        </w:rPr>
        <w:t xml:space="preserve"> godišnje. Pritom je visina BDP-a u 2018.</w:t>
      </w:r>
      <w:r w:rsidR="00777EC2" w:rsidRPr="00654E3B">
        <w:rPr>
          <w:rFonts w:cs="Times New Roman"/>
        </w:rPr>
        <w:t xml:space="preserve"> godini, </w:t>
      </w:r>
      <w:r w:rsidRPr="00654E3B">
        <w:rPr>
          <w:rFonts w:cs="Times New Roman"/>
        </w:rPr>
        <w:t>bila 22</w:t>
      </w:r>
      <w:r w:rsidR="00060992" w:rsidRPr="00654E3B">
        <w:rPr>
          <w:rFonts w:cs="Times New Roman"/>
        </w:rPr>
        <w:t xml:space="preserve"> %</w:t>
      </w:r>
      <w:r w:rsidRPr="00654E3B">
        <w:rPr>
          <w:rFonts w:cs="Times New Roman"/>
        </w:rPr>
        <w:t xml:space="preserve"> iznad one u 2004. godini, a emisije su smanjenje za 19,6</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 xml:space="preserve">Međutim, ostvareno razdvajanje samo je relativno jer je do smanjenja emisija došlo uz pad BDP-a. Kroz niskougljični razvoj očekuje se da će doći do razdvajanja BDP-a i emisija, odnosno da će doći do rasta BDP-a, a </w:t>
      </w:r>
      <w:r w:rsidR="00777EC2" w:rsidRPr="00654E3B">
        <w:rPr>
          <w:rFonts w:cs="Times New Roman"/>
        </w:rPr>
        <w:t xml:space="preserve">smanjivanja </w:t>
      </w:r>
      <w:r w:rsidRPr="00654E3B">
        <w:rPr>
          <w:rFonts w:cs="Times New Roman"/>
        </w:rPr>
        <w:t>emisija stakleničkih plinova.</w:t>
      </w:r>
    </w:p>
    <w:p w:rsidR="007D4A93" w:rsidRPr="00654E3B" w:rsidRDefault="00EF0BEB">
      <w:pPr>
        <w:pStyle w:val="Heading1"/>
        <w:rPr>
          <w:rFonts w:ascii="Times New Roman" w:hAnsi="Times New Roman" w:cs="Times New Roman"/>
        </w:rPr>
      </w:pPr>
      <w:bookmarkStart w:id="160" w:name="_Toc69810153"/>
      <w:bookmarkStart w:id="161" w:name="_Toc20841296"/>
      <w:bookmarkStart w:id="162" w:name="_Toc20841402"/>
      <w:r w:rsidRPr="00654E3B">
        <w:rPr>
          <w:rFonts w:ascii="Times New Roman" w:hAnsi="Times New Roman" w:cs="Times New Roman"/>
        </w:rPr>
        <w:t xml:space="preserve">3. </w:t>
      </w:r>
      <w:r w:rsidRPr="00654E3B">
        <w:rPr>
          <w:rFonts w:ascii="Times New Roman" w:hAnsi="Times New Roman" w:cs="Times New Roman"/>
        </w:rPr>
        <w:tab/>
        <w:t>UKUPNO SMANJENJE EMISIJA STAKLENIČKIH PLINOVA</w:t>
      </w:r>
      <w:bookmarkEnd w:id="160"/>
      <w:r w:rsidRPr="00654E3B">
        <w:rPr>
          <w:rFonts w:ascii="Times New Roman" w:hAnsi="Times New Roman" w:cs="Times New Roman"/>
        </w:rPr>
        <w:t xml:space="preserve"> </w:t>
      </w:r>
      <w:bookmarkEnd w:id="161"/>
      <w:bookmarkEnd w:id="162"/>
    </w:p>
    <w:p w:rsidR="007D4A93" w:rsidRPr="00654E3B" w:rsidRDefault="00EF0BEB">
      <w:pPr>
        <w:pStyle w:val="Heading2"/>
        <w:rPr>
          <w:rFonts w:ascii="Times New Roman" w:hAnsi="Times New Roman" w:cs="Times New Roman"/>
        </w:rPr>
      </w:pPr>
      <w:bookmarkStart w:id="163" w:name="_Toc69810154"/>
      <w:r w:rsidRPr="00654E3B">
        <w:rPr>
          <w:rFonts w:ascii="Times New Roman" w:hAnsi="Times New Roman" w:cs="Times New Roman"/>
        </w:rPr>
        <w:t>3.1.</w:t>
      </w:r>
      <w:r w:rsidRPr="00654E3B">
        <w:rPr>
          <w:rFonts w:ascii="Times New Roman" w:hAnsi="Times New Roman" w:cs="Times New Roman"/>
        </w:rPr>
        <w:tab/>
        <w:t>PREDVIĐENA SMANJENJA EMISIJA DO 2050. GODINE</w:t>
      </w:r>
      <w:bookmarkEnd w:id="163"/>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Ukupno smanjenje emisija stakleničkih plinova prema scenarijima NUR, NU1 i NU2 prikazano je u tablici 3-1 i na slici 3-1, a usporedba je napravljena s 1990. godinom. </w:t>
      </w:r>
    </w:p>
    <w:p w:rsidR="007D4A93" w:rsidRPr="00654E3B" w:rsidRDefault="00EF0BEB">
      <w:pPr>
        <w:rPr>
          <w:rFonts w:cs="Times New Roman"/>
        </w:rPr>
      </w:pPr>
      <w:r w:rsidRPr="00654E3B">
        <w:rPr>
          <w:rFonts w:cs="Times New Roman"/>
        </w:rPr>
        <w:t>Ukupno smanjenje emisije prema scenariju NUR, NU1 i NU2, s obzirom na ETS i sektore izvan ETS-a, prikazano je u tablici 3-2, a usporedba je napravljena s 2005. godinom.</w:t>
      </w:r>
    </w:p>
    <w:p w:rsidR="007D4A93" w:rsidRPr="00654E3B" w:rsidRDefault="00EF0BEB">
      <w:pPr>
        <w:rPr>
          <w:rFonts w:cs="Times New Roman"/>
        </w:rPr>
      </w:pPr>
      <w:r w:rsidRPr="00654E3B">
        <w:rPr>
          <w:rFonts w:cs="Times New Roman"/>
        </w:rPr>
        <w:t>Pokazatelji obnovljivih izvora energije i energetske učinkovitosti u scenarijima NUR, NU1 i NU2 prikazani su u tablici 3-3.</w:t>
      </w:r>
    </w:p>
    <w:p w:rsidR="007D4A93" w:rsidRPr="00654E3B" w:rsidRDefault="00EF0BEB">
      <w:pPr>
        <w:pStyle w:val="Tablicanaslov"/>
        <w:spacing w:after="120"/>
        <w:rPr>
          <w:rFonts w:cs="Times New Roman"/>
          <w:i/>
          <w:sz w:val="22"/>
          <w:szCs w:val="22"/>
        </w:rPr>
      </w:pPr>
      <w:bookmarkStart w:id="164" w:name="_Toc434994798"/>
      <w:bookmarkStart w:id="165" w:name="_Toc484158410"/>
      <w:bookmarkStart w:id="166" w:name="_Toc33417110"/>
      <w:r w:rsidRPr="00654E3B">
        <w:rPr>
          <w:rFonts w:cs="Times New Roman"/>
          <w:i/>
          <w:sz w:val="22"/>
          <w:szCs w:val="22"/>
        </w:rPr>
        <w:t xml:space="preserve">Tablica 3-1: Projekcije smanjenja emisija </w:t>
      </w:r>
      <w:bookmarkEnd w:id="164"/>
      <w:r w:rsidRPr="00654E3B">
        <w:rPr>
          <w:rFonts w:cs="Times New Roman"/>
          <w:i/>
          <w:sz w:val="22"/>
          <w:szCs w:val="22"/>
        </w:rPr>
        <w:t>u niskougljičnim scenarijima</w:t>
      </w:r>
      <w:bookmarkEnd w:id="165"/>
      <w:bookmarkEnd w:id="166"/>
    </w:p>
    <w:tbl>
      <w:tblPr>
        <w:tblW w:w="9109" w:type="dxa"/>
        <w:tblLook w:val="04A0" w:firstRow="1" w:lastRow="0" w:firstColumn="1" w:lastColumn="0" w:noHBand="0" w:noVBand="1"/>
      </w:tblPr>
      <w:tblGrid>
        <w:gridCol w:w="1716"/>
        <w:gridCol w:w="1139"/>
        <w:gridCol w:w="639"/>
        <w:gridCol w:w="1396"/>
        <w:gridCol w:w="639"/>
        <w:gridCol w:w="1418"/>
        <w:gridCol w:w="639"/>
        <w:gridCol w:w="1523"/>
      </w:tblGrid>
      <w:tr w:rsidR="007D4A93" w:rsidRPr="00654E3B">
        <w:trPr>
          <w:trHeight w:val="308"/>
        </w:trPr>
        <w:tc>
          <w:tcPr>
            <w:tcW w:w="1716" w:type="dxa"/>
            <w:vMerge w:val="restart"/>
            <w:tcBorders>
              <w:top w:val="single" w:sz="4" w:space="0" w:color="auto"/>
              <w:left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lastRenderedPageBreak/>
              <w:t>Emisije u odnosu na emisije u 1990. godini (</w:t>
            </w:r>
            <w:r w:rsidR="00060992" w:rsidRPr="00654E3B">
              <w:rPr>
                <w:rFonts w:cs="Times New Roman"/>
                <w:b/>
                <w:sz w:val="20"/>
                <w:lang w:eastAsia="hr-HR"/>
              </w:rPr>
              <w:t xml:space="preserve"> %</w:t>
            </w:r>
            <w:r w:rsidRPr="00654E3B">
              <w:rPr>
                <w:rFonts w:cs="Times New Roman"/>
                <w:b/>
                <w:sz w:val="20"/>
                <w:lang w:eastAsia="hr-HR"/>
              </w:rPr>
              <w:t>)</w:t>
            </w:r>
          </w:p>
        </w:tc>
        <w:tc>
          <w:tcPr>
            <w:tcW w:w="1139" w:type="dxa"/>
            <w:tcBorders>
              <w:top w:val="single" w:sz="4" w:space="0" w:color="auto"/>
              <w:left w:val="none" w:sz="4" w:space="0" w:color="000000"/>
              <w:bottom w:val="single" w:sz="4" w:space="0" w:color="auto"/>
              <w:right w:val="single" w:sz="4" w:space="0" w:color="auto"/>
            </w:tcBorders>
            <w:shd w:val="clear" w:color="auto" w:fill="F2F2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2016.</w:t>
            </w:r>
          </w:p>
        </w:tc>
        <w:tc>
          <w:tcPr>
            <w:tcW w:w="2035" w:type="dxa"/>
            <w:gridSpan w:val="2"/>
            <w:tcBorders>
              <w:top w:val="single" w:sz="4" w:space="0" w:color="auto"/>
              <w:left w:val="none" w:sz="4" w:space="0" w:color="000000"/>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2030.</w:t>
            </w:r>
          </w:p>
        </w:tc>
        <w:tc>
          <w:tcPr>
            <w:tcW w:w="205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2040.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2050.</w:t>
            </w:r>
          </w:p>
        </w:tc>
      </w:tr>
      <w:tr w:rsidR="007D4A93" w:rsidRPr="00654E3B">
        <w:trPr>
          <w:trHeight w:val="308"/>
        </w:trPr>
        <w:tc>
          <w:tcPr>
            <w:tcW w:w="1716" w:type="dxa"/>
            <w:vMerge/>
            <w:tcBorders>
              <w:left w:val="single" w:sz="4" w:space="0" w:color="auto"/>
              <w:bottom w:val="single" w:sz="4" w:space="0" w:color="auto"/>
              <w:right w:val="single" w:sz="4" w:space="0" w:color="auto"/>
            </w:tcBorders>
            <w:shd w:val="clear" w:color="auto" w:fill="F2F2F2"/>
            <w:noWrap/>
            <w:vAlign w:val="center"/>
          </w:tcPr>
          <w:p w:rsidR="007D4A93" w:rsidRPr="00654E3B" w:rsidRDefault="007D4A93">
            <w:pPr>
              <w:jc w:val="left"/>
              <w:rPr>
                <w:rFonts w:cs="Times New Roman"/>
                <w:sz w:val="20"/>
                <w:lang w:eastAsia="hr-HR"/>
              </w:rPr>
            </w:pPr>
          </w:p>
        </w:tc>
        <w:tc>
          <w:tcPr>
            <w:tcW w:w="1139" w:type="dxa"/>
            <w:tcBorders>
              <w:top w:val="none" w:sz="4" w:space="0" w:color="000000"/>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sz w:val="20"/>
                <w:lang w:eastAsia="hr-HR"/>
              </w:rPr>
            </w:pPr>
            <w:r w:rsidRPr="00654E3B">
              <w:rPr>
                <w:rFonts w:cs="Times New Roman"/>
                <w:sz w:val="20"/>
                <w:lang w:eastAsia="hr-HR"/>
              </w:rPr>
              <w:t>Ostvareno</w:t>
            </w:r>
          </w:p>
        </w:tc>
        <w:tc>
          <w:tcPr>
            <w:tcW w:w="639"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Proizvodnja električne energije i topline</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-9,9</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-42,8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-49,7 do -53,3</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-65,6 do -79,3</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-56,7</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-61,0 do -93,3</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Proizvodnja i prerada goriva</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-55,7</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-55,4</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-55,8 do -56,0</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-61,5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-62,8 do -63,7</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-72,9</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-74,7 do -75,9</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Promet</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59,1</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63,8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51,4 do 44,0</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20,7 do 16,8</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-1,4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-28,3 do -55,4</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 xml:space="preserve">Sektor opće potrošnje </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-22,3</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-22,5</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-30,2 do -34,0</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-40,2 do -53,3</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-33,2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-55,3 do -73,8</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Industrija</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-53,9</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-51,9</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-54,1 do -57,5</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-58,6 do -64,1</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-56,6</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-64,4 do -83,0</w:t>
            </w:r>
          </w:p>
        </w:tc>
      </w:tr>
      <w:tr w:rsidR="007D4A93" w:rsidRPr="00654E3B">
        <w:trPr>
          <w:trHeight w:val="308"/>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Poljoprivreda</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-36,0</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-40,8</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-44,5 do -46,3</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-48,1 do -51,5</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-43,8</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-50,9 do -55,8</w:t>
            </w:r>
          </w:p>
        </w:tc>
      </w:tr>
      <w:tr w:rsidR="007D4A93" w:rsidRPr="00654E3B">
        <w:trPr>
          <w:trHeight w:val="323"/>
        </w:trPr>
        <w:tc>
          <w:tcPr>
            <w:tcW w:w="1716" w:type="dxa"/>
            <w:tcBorders>
              <w:top w:val="none" w:sz="4" w:space="0" w:color="000000"/>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sz w:val="20"/>
                <w:lang w:eastAsia="hr-HR"/>
              </w:rPr>
            </w:pPr>
            <w:r w:rsidRPr="00654E3B">
              <w:rPr>
                <w:rFonts w:cs="Times New Roman"/>
                <w:sz w:val="20"/>
                <w:lang w:eastAsia="hr-HR"/>
              </w:rPr>
              <w:t>Otpad</w:t>
            </w:r>
          </w:p>
        </w:tc>
        <w:tc>
          <w:tcPr>
            <w:tcW w:w="1139" w:type="dxa"/>
            <w:tcBorders>
              <w:top w:val="none" w:sz="4" w:space="0" w:color="000000"/>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100,5</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35,0</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35,0</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-7,6</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-29,4</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-29,4</w:t>
            </w:r>
          </w:p>
        </w:tc>
      </w:tr>
      <w:tr w:rsidR="007D4A93" w:rsidRPr="00654E3B">
        <w:trPr>
          <w:trHeight w:val="323"/>
        </w:trPr>
        <w:tc>
          <w:tcPr>
            <w:tcW w:w="171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Ukupno projekcije</w:t>
            </w:r>
          </w:p>
        </w:tc>
        <w:tc>
          <w:tcPr>
            <w:tcW w:w="1139" w:type="dxa"/>
            <w:tcBorders>
              <w:top w:val="single" w:sz="4" w:space="0" w:color="auto"/>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-23,5</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-28,9</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-33,5 do -36,7</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-44,8 do -50,9</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-46,3</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-56,8 do -73,1</w:t>
            </w:r>
          </w:p>
        </w:tc>
      </w:tr>
    </w:tbl>
    <w:p w:rsidR="007D4A93" w:rsidRPr="00654E3B" w:rsidRDefault="00EF0BEB">
      <w:pPr>
        <w:spacing w:line="240" w:lineRule="auto"/>
        <w:jc w:val="center"/>
        <w:rPr>
          <w:rFonts w:cs="Times New Roman"/>
          <w:lang w:eastAsia="hr-HR"/>
        </w:rPr>
      </w:pPr>
      <w:r w:rsidRPr="00654E3B">
        <w:rPr>
          <w:rFonts w:cs="Times New Roman"/>
          <w:lang w:eastAsia="hr-HR"/>
        </w:rPr>
        <w:t xml:space="preserve">  </w:t>
      </w:r>
    </w:p>
    <w:p w:rsidR="007D4A93" w:rsidRPr="00F01191" w:rsidRDefault="00EF0BEB">
      <w:pPr>
        <w:spacing w:line="240" w:lineRule="auto"/>
        <w:jc w:val="center"/>
        <w:rPr>
          <w:rFonts w:cs="Times New Roman"/>
          <w:lang w:eastAsia="hr-HR"/>
        </w:rPr>
      </w:pPr>
      <w:r w:rsidRPr="00F01191">
        <w:rPr>
          <w:rFonts w:cs="Times New Roman"/>
          <w:noProof/>
          <w:lang w:val="en-US"/>
        </w:rPr>
        <w:drawing>
          <wp:inline distT="0" distB="0" distL="0" distR="0" wp14:anchorId="2EA8D20E" wp14:editId="1D8F29BF">
            <wp:extent cx="3907536" cy="2371344"/>
            <wp:effectExtent l="0" t="0" r="0" b="0"/>
            <wp:docPr id="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1.jpg"/>
                    <pic:cNvPicPr>
                      <a:picLocks noChangeAspect="1"/>
                    </pic:cNvPicPr>
                  </pic:nvPicPr>
                  <pic:blipFill>
                    <a:blip r:embed="rId16"/>
                    <a:stretch/>
                  </pic:blipFill>
                  <pic:spPr bwMode="auto">
                    <a:xfrm>
                      <a:off x="0" y="0"/>
                      <a:ext cx="3907536" cy="2371344"/>
                    </a:xfrm>
                    <a:prstGeom prst="rect">
                      <a:avLst/>
                    </a:prstGeom>
                  </pic:spPr>
                </pic:pic>
              </a:graphicData>
            </a:graphic>
          </wp:inline>
        </w:drawing>
      </w:r>
    </w:p>
    <w:p w:rsidR="007D4A93" w:rsidRPr="00F01191" w:rsidRDefault="00EF0BEB">
      <w:pPr>
        <w:spacing w:line="240" w:lineRule="auto"/>
        <w:jc w:val="center"/>
        <w:rPr>
          <w:rFonts w:cs="Times New Roman"/>
          <w:lang w:eastAsia="hr-HR"/>
        </w:rPr>
      </w:pPr>
      <w:r w:rsidRPr="00F01191">
        <w:rPr>
          <w:rFonts w:cs="Times New Roman"/>
          <w:noProof/>
          <w:lang w:val="en-US"/>
        </w:rPr>
        <w:drawing>
          <wp:inline distT="0" distB="0" distL="0" distR="0" wp14:anchorId="184142E1" wp14:editId="1AAF77F3">
            <wp:extent cx="3901440" cy="2377440"/>
            <wp:effectExtent l="0" t="0" r="3810" b="3810"/>
            <wp:docPr id="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2.jpg"/>
                    <pic:cNvPicPr>
                      <a:picLocks noChangeAspect="1"/>
                    </pic:cNvPicPr>
                  </pic:nvPicPr>
                  <pic:blipFill>
                    <a:blip r:embed="rId17"/>
                    <a:stretch/>
                  </pic:blipFill>
                  <pic:spPr bwMode="auto">
                    <a:xfrm>
                      <a:off x="0" y="0"/>
                      <a:ext cx="3901440" cy="2377440"/>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bookmarkStart w:id="167" w:name="_Toc33417099"/>
      <w:r w:rsidRPr="00654E3B">
        <w:rPr>
          <w:rFonts w:ascii="Times New Roman" w:hAnsi="Times New Roman"/>
          <w:i/>
        </w:rPr>
        <w:t>Slika 3-1: Projekcije smanjenja emisija u niskougljičnim scenarijima</w:t>
      </w:r>
      <w:bookmarkEnd w:id="167"/>
    </w:p>
    <w:p w:rsidR="00380CA9" w:rsidRPr="00654E3B" w:rsidRDefault="00380CA9">
      <w:pPr>
        <w:pStyle w:val="Tablicanaslov"/>
        <w:spacing w:after="120"/>
        <w:rPr>
          <w:rFonts w:cs="Times New Roman"/>
          <w:i/>
          <w:sz w:val="22"/>
          <w:szCs w:val="22"/>
        </w:rPr>
      </w:pPr>
      <w:bookmarkStart w:id="168" w:name="_Toc33417111"/>
    </w:p>
    <w:p w:rsidR="007D4A93" w:rsidRPr="00654E3B" w:rsidRDefault="00EF0BEB">
      <w:pPr>
        <w:pStyle w:val="Tablicanaslov"/>
        <w:spacing w:after="120"/>
        <w:rPr>
          <w:rFonts w:cs="Times New Roman"/>
          <w:i/>
          <w:sz w:val="22"/>
          <w:szCs w:val="22"/>
        </w:rPr>
      </w:pPr>
      <w:r w:rsidRPr="00654E3B">
        <w:rPr>
          <w:rFonts w:cs="Times New Roman"/>
          <w:i/>
          <w:sz w:val="22"/>
          <w:szCs w:val="22"/>
        </w:rPr>
        <w:t>Tablica 3-2: Smanjenje emisija u niskougljičnim scenarijima, ETS i sektori izvan ETS-a</w:t>
      </w:r>
      <w:bookmarkEnd w:id="168"/>
    </w:p>
    <w:tbl>
      <w:tblPr>
        <w:tblW w:w="9109" w:type="dxa"/>
        <w:tblLayout w:type="fixed"/>
        <w:tblLook w:val="04A0" w:firstRow="1" w:lastRow="0" w:firstColumn="1" w:lastColumn="0" w:noHBand="0" w:noVBand="1"/>
      </w:tblPr>
      <w:tblGrid>
        <w:gridCol w:w="1716"/>
        <w:gridCol w:w="1139"/>
        <w:gridCol w:w="639"/>
        <w:gridCol w:w="1396"/>
        <w:gridCol w:w="639"/>
        <w:gridCol w:w="1418"/>
        <w:gridCol w:w="639"/>
        <w:gridCol w:w="1523"/>
      </w:tblGrid>
      <w:tr w:rsidR="007D4A93" w:rsidRPr="00654E3B">
        <w:trPr>
          <w:trHeight w:val="308"/>
        </w:trPr>
        <w:tc>
          <w:tcPr>
            <w:tcW w:w="1716" w:type="dxa"/>
            <w:vMerge w:val="restart"/>
            <w:tcBorders>
              <w:top w:val="single" w:sz="4" w:space="0" w:color="auto"/>
              <w:left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lastRenderedPageBreak/>
              <w:t>Emisije u odnosu na emisije u 2005. godini (</w:t>
            </w:r>
            <w:r w:rsidR="00060992" w:rsidRPr="00654E3B">
              <w:rPr>
                <w:rFonts w:cs="Times New Roman"/>
                <w:b/>
                <w:sz w:val="20"/>
                <w:lang w:eastAsia="hr-HR"/>
              </w:rPr>
              <w:t xml:space="preserve"> %</w:t>
            </w:r>
            <w:r w:rsidRPr="00654E3B">
              <w:rPr>
                <w:rFonts w:cs="Times New Roman"/>
                <w:b/>
                <w:sz w:val="20"/>
                <w:lang w:eastAsia="hr-HR"/>
              </w:rPr>
              <w:t>)</w:t>
            </w:r>
          </w:p>
        </w:tc>
        <w:tc>
          <w:tcPr>
            <w:tcW w:w="1139" w:type="dxa"/>
            <w:tcBorders>
              <w:top w:val="single" w:sz="4" w:space="0" w:color="auto"/>
              <w:left w:val="none" w:sz="4" w:space="0" w:color="000000"/>
              <w:bottom w:val="single" w:sz="4" w:space="0" w:color="auto"/>
              <w:right w:val="single" w:sz="4" w:space="0" w:color="auto"/>
            </w:tcBorders>
            <w:shd w:val="clear" w:color="auto" w:fill="F2F2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2016.</w:t>
            </w:r>
          </w:p>
        </w:tc>
        <w:tc>
          <w:tcPr>
            <w:tcW w:w="2035" w:type="dxa"/>
            <w:gridSpan w:val="2"/>
            <w:tcBorders>
              <w:top w:val="single" w:sz="4" w:space="0" w:color="auto"/>
              <w:left w:val="none" w:sz="4" w:space="0" w:color="000000"/>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2030.</w:t>
            </w:r>
          </w:p>
        </w:tc>
        <w:tc>
          <w:tcPr>
            <w:tcW w:w="205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2040.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2050.</w:t>
            </w:r>
          </w:p>
        </w:tc>
      </w:tr>
      <w:tr w:rsidR="007D4A93" w:rsidRPr="00654E3B">
        <w:trPr>
          <w:trHeight w:val="308"/>
        </w:trPr>
        <w:tc>
          <w:tcPr>
            <w:tcW w:w="1716" w:type="dxa"/>
            <w:vMerge/>
            <w:tcBorders>
              <w:left w:val="single" w:sz="4" w:space="0" w:color="auto"/>
              <w:bottom w:val="single" w:sz="4" w:space="0" w:color="auto"/>
              <w:right w:val="single" w:sz="4" w:space="0" w:color="auto"/>
            </w:tcBorders>
            <w:shd w:val="clear" w:color="auto" w:fill="F2F2F2"/>
            <w:noWrap/>
            <w:vAlign w:val="center"/>
          </w:tcPr>
          <w:p w:rsidR="007D4A93" w:rsidRPr="00654E3B" w:rsidRDefault="007D4A93">
            <w:pPr>
              <w:jc w:val="left"/>
              <w:rPr>
                <w:rFonts w:cs="Times New Roman"/>
                <w:sz w:val="20"/>
                <w:lang w:eastAsia="hr-HR"/>
              </w:rPr>
            </w:pPr>
          </w:p>
        </w:tc>
        <w:tc>
          <w:tcPr>
            <w:tcW w:w="1139" w:type="dxa"/>
            <w:tcBorders>
              <w:top w:val="none" w:sz="4" w:space="0" w:color="000000"/>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sz w:val="20"/>
                <w:lang w:eastAsia="hr-HR"/>
              </w:rPr>
            </w:pPr>
            <w:r w:rsidRPr="00654E3B">
              <w:rPr>
                <w:rFonts w:cs="Times New Roman"/>
                <w:sz w:val="20"/>
                <w:lang w:eastAsia="hr-HR"/>
              </w:rPr>
              <w:t>Ostvareno</w:t>
            </w:r>
          </w:p>
        </w:tc>
        <w:tc>
          <w:tcPr>
            <w:tcW w:w="639"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r>
      <w:tr w:rsidR="007D4A93" w:rsidRPr="00654E3B">
        <w:trPr>
          <w:trHeight w:val="308"/>
        </w:trPr>
        <w:tc>
          <w:tcPr>
            <w:tcW w:w="171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ETS</w:t>
            </w:r>
          </w:p>
        </w:tc>
        <w:tc>
          <w:tcPr>
            <w:tcW w:w="1139" w:type="dxa"/>
            <w:tcBorders>
              <w:top w:val="single" w:sz="4" w:space="0" w:color="auto"/>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-22,4</w:t>
            </w:r>
          </w:p>
        </w:tc>
        <w:tc>
          <w:tcPr>
            <w:tcW w:w="639" w:type="dxa"/>
            <w:tcBorders>
              <w:top w:val="single" w:sz="4" w:space="0" w:color="auto"/>
              <w:left w:val="none" w:sz="4" w:space="0" w:color="000000"/>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-30,1</w:t>
            </w:r>
          </w:p>
        </w:tc>
        <w:tc>
          <w:tcPr>
            <w:tcW w:w="13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-34,3 do -38,6</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-36,9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-45,4 do -54,9</w:t>
            </w:r>
          </w:p>
        </w:tc>
        <w:tc>
          <w:tcPr>
            <w:tcW w:w="639" w:type="dxa"/>
            <w:tcBorders>
              <w:top w:val="single" w:sz="4" w:space="0" w:color="auto"/>
              <w:left w:val="single" w:sz="4" w:space="0" w:color="auto"/>
              <w:bottom w:val="single" w:sz="4" w:space="0" w:color="auto"/>
              <w:right w:val="single" w:sz="4" w:space="0" w:color="auto"/>
            </w:tcBorders>
            <w:vAlign w:val="center"/>
          </w:tcPr>
          <w:p w:rsidR="007D4A93" w:rsidRPr="00654E3B" w:rsidRDefault="00EF0BEB">
            <w:pPr>
              <w:jc w:val="center"/>
              <w:rPr>
                <w:rFonts w:cs="Times New Roman"/>
                <w:sz w:val="20"/>
                <w:lang w:eastAsia="hr-HR"/>
              </w:rPr>
            </w:pPr>
            <w:r w:rsidRPr="00654E3B">
              <w:rPr>
                <w:rFonts w:cs="Times New Roman"/>
                <w:sz w:val="20"/>
                <w:lang w:eastAsia="hr-HR"/>
              </w:rPr>
              <w:t>-43,2</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-51,4 do -78,5</w:t>
            </w:r>
          </w:p>
        </w:tc>
      </w:tr>
      <w:tr w:rsidR="007D4A93" w:rsidRPr="00654E3B">
        <w:trPr>
          <w:trHeight w:val="20"/>
        </w:trPr>
        <w:tc>
          <w:tcPr>
            <w:tcW w:w="1716" w:type="dxa"/>
            <w:tcBorders>
              <w:top w:val="single" w:sz="4" w:space="0" w:color="auto"/>
              <w:left w:val="single" w:sz="4" w:space="0" w:color="auto"/>
              <w:bottom w:val="single" w:sz="4" w:space="0" w:color="auto"/>
            </w:tcBorders>
            <w:shd w:val="clear" w:color="auto" w:fill="auto"/>
            <w:noWrap/>
            <w:vAlign w:val="center"/>
          </w:tcPr>
          <w:p w:rsidR="007D4A93" w:rsidRPr="00654E3B" w:rsidRDefault="007D4A93">
            <w:pPr>
              <w:spacing w:line="240" w:lineRule="auto"/>
              <w:jc w:val="left"/>
              <w:rPr>
                <w:rFonts w:cs="Times New Roman"/>
                <w:sz w:val="6"/>
                <w:szCs w:val="6"/>
                <w:lang w:eastAsia="hr-HR"/>
              </w:rPr>
            </w:pPr>
          </w:p>
        </w:tc>
        <w:tc>
          <w:tcPr>
            <w:tcW w:w="1139" w:type="dxa"/>
            <w:tcBorders>
              <w:top w:val="single" w:sz="4" w:space="0" w:color="auto"/>
              <w:bottom w:val="single" w:sz="4" w:space="0" w:color="auto"/>
            </w:tcBorders>
            <w:shd w:val="clear" w:color="auto" w:fill="auto"/>
            <w:noWrap/>
            <w:vAlign w:val="center"/>
          </w:tcPr>
          <w:p w:rsidR="007D4A93" w:rsidRPr="00654E3B" w:rsidRDefault="007D4A93">
            <w:pPr>
              <w:spacing w:line="240" w:lineRule="auto"/>
              <w:jc w:val="center"/>
              <w:rPr>
                <w:rFonts w:cs="Times New Roman"/>
                <w:sz w:val="6"/>
                <w:szCs w:val="6"/>
                <w:lang w:eastAsia="hr-HR"/>
              </w:rPr>
            </w:pPr>
          </w:p>
        </w:tc>
        <w:tc>
          <w:tcPr>
            <w:tcW w:w="639" w:type="dxa"/>
            <w:tcBorders>
              <w:top w:val="single" w:sz="4" w:space="0" w:color="auto"/>
              <w:bottom w:val="single" w:sz="4" w:space="0" w:color="auto"/>
            </w:tcBorders>
            <w:shd w:val="clear" w:color="auto" w:fill="auto"/>
            <w:vAlign w:val="center"/>
          </w:tcPr>
          <w:p w:rsidR="007D4A93" w:rsidRPr="00654E3B" w:rsidRDefault="007D4A93">
            <w:pPr>
              <w:spacing w:line="240" w:lineRule="auto"/>
              <w:jc w:val="center"/>
              <w:rPr>
                <w:rFonts w:cs="Times New Roman"/>
                <w:sz w:val="6"/>
                <w:szCs w:val="6"/>
                <w:lang w:eastAsia="hr-HR"/>
              </w:rPr>
            </w:pPr>
          </w:p>
        </w:tc>
        <w:tc>
          <w:tcPr>
            <w:tcW w:w="1396" w:type="dxa"/>
            <w:tcBorders>
              <w:top w:val="single" w:sz="4" w:space="0" w:color="auto"/>
              <w:bottom w:val="single" w:sz="4" w:space="0" w:color="auto"/>
            </w:tcBorders>
            <w:shd w:val="clear" w:color="auto" w:fill="auto"/>
            <w:noWrap/>
            <w:vAlign w:val="center"/>
          </w:tcPr>
          <w:p w:rsidR="007D4A93" w:rsidRPr="00654E3B" w:rsidRDefault="007D4A93">
            <w:pPr>
              <w:spacing w:line="240" w:lineRule="auto"/>
              <w:jc w:val="center"/>
              <w:rPr>
                <w:rFonts w:cs="Times New Roman"/>
                <w:b/>
                <w:sz w:val="6"/>
                <w:szCs w:val="6"/>
                <w:lang w:eastAsia="hr-HR"/>
              </w:rPr>
            </w:pPr>
          </w:p>
        </w:tc>
        <w:tc>
          <w:tcPr>
            <w:tcW w:w="639" w:type="dxa"/>
            <w:tcBorders>
              <w:top w:val="single" w:sz="4" w:space="0" w:color="auto"/>
              <w:bottom w:val="single" w:sz="4" w:space="0" w:color="auto"/>
            </w:tcBorders>
            <w:shd w:val="clear" w:color="auto" w:fill="auto"/>
            <w:vAlign w:val="center"/>
          </w:tcPr>
          <w:p w:rsidR="007D4A93" w:rsidRPr="00654E3B" w:rsidRDefault="007D4A93">
            <w:pPr>
              <w:spacing w:line="240" w:lineRule="auto"/>
              <w:jc w:val="center"/>
              <w:rPr>
                <w:rFonts w:cs="Times New Roman"/>
                <w:sz w:val="6"/>
                <w:szCs w:val="6"/>
                <w:lang w:eastAsia="hr-HR"/>
              </w:rPr>
            </w:pPr>
          </w:p>
        </w:tc>
        <w:tc>
          <w:tcPr>
            <w:tcW w:w="1418" w:type="dxa"/>
            <w:tcBorders>
              <w:top w:val="single" w:sz="4" w:space="0" w:color="auto"/>
              <w:bottom w:val="single" w:sz="4" w:space="0" w:color="auto"/>
            </w:tcBorders>
            <w:shd w:val="clear" w:color="auto" w:fill="auto"/>
            <w:noWrap/>
            <w:vAlign w:val="center"/>
          </w:tcPr>
          <w:p w:rsidR="007D4A93" w:rsidRPr="00654E3B" w:rsidRDefault="007D4A93">
            <w:pPr>
              <w:spacing w:line="240" w:lineRule="auto"/>
              <w:jc w:val="center"/>
              <w:rPr>
                <w:rFonts w:cs="Times New Roman"/>
                <w:b/>
                <w:sz w:val="6"/>
                <w:szCs w:val="6"/>
                <w:lang w:eastAsia="hr-HR"/>
              </w:rPr>
            </w:pPr>
          </w:p>
        </w:tc>
        <w:tc>
          <w:tcPr>
            <w:tcW w:w="639" w:type="dxa"/>
            <w:tcBorders>
              <w:top w:val="single" w:sz="4" w:space="0" w:color="auto"/>
              <w:bottom w:val="single" w:sz="4" w:space="0" w:color="auto"/>
            </w:tcBorders>
            <w:shd w:val="clear" w:color="auto" w:fill="auto"/>
            <w:vAlign w:val="center"/>
          </w:tcPr>
          <w:p w:rsidR="007D4A93" w:rsidRPr="00654E3B" w:rsidRDefault="007D4A93">
            <w:pPr>
              <w:spacing w:line="240" w:lineRule="auto"/>
              <w:jc w:val="center"/>
              <w:rPr>
                <w:rFonts w:cs="Times New Roman"/>
                <w:sz w:val="6"/>
                <w:szCs w:val="6"/>
                <w:lang w:eastAsia="hr-HR"/>
              </w:rPr>
            </w:pPr>
          </w:p>
        </w:tc>
        <w:tc>
          <w:tcPr>
            <w:tcW w:w="1523" w:type="dxa"/>
            <w:tcBorders>
              <w:top w:val="single" w:sz="4" w:space="0" w:color="auto"/>
              <w:left w:val="none" w:sz="4" w:space="0" w:color="000000"/>
              <w:bottom w:val="single" w:sz="4" w:space="0" w:color="auto"/>
              <w:right w:val="single" w:sz="4" w:space="0" w:color="auto"/>
            </w:tcBorders>
            <w:shd w:val="clear" w:color="auto" w:fill="auto"/>
            <w:noWrap/>
            <w:vAlign w:val="center"/>
          </w:tcPr>
          <w:p w:rsidR="007D4A93" w:rsidRPr="00654E3B" w:rsidRDefault="007D4A93">
            <w:pPr>
              <w:spacing w:line="240" w:lineRule="auto"/>
              <w:jc w:val="center"/>
              <w:rPr>
                <w:rFonts w:cs="Times New Roman"/>
                <w:b/>
                <w:sz w:val="6"/>
                <w:szCs w:val="6"/>
                <w:lang w:eastAsia="hr-HR"/>
              </w:rPr>
            </w:pPr>
          </w:p>
        </w:tc>
      </w:tr>
      <w:tr w:rsidR="007D4A93" w:rsidRPr="00654E3B">
        <w:trPr>
          <w:trHeight w:val="308"/>
        </w:trPr>
        <w:tc>
          <w:tcPr>
            <w:tcW w:w="1716" w:type="dxa"/>
            <w:vMerge w:val="restart"/>
            <w:tcBorders>
              <w:top w:val="single" w:sz="4" w:space="0" w:color="auto"/>
              <w:left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Emisije u odnosu na baznu 2005. godinu (</w:t>
            </w:r>
            <w:r w:rsidR="00060992" w:rsidRPr="00654E3B">
              <w:rPr>
                <w:rFonts w:cs="Times New Roman"/>
                <w:b/>
                <w:sz w:val="20"/>
                <w:lang w:eastAsia="hr-HR"/>
              </w:rPr>
              <w:t xml:space="preserve"> %</w:t>
            </w:r>
            <w:r w:rsidRPr="00654E3B">
              <w:rPr>
                <w:rFonts w:cs="Times New Roman"/>
                <w:b/>
                <w:sz w:val="20"/>
                <w:lang w:eastAsia="hr-HR"/>
              </w:rPr>
              <w:t>)</w:t>
            </w:r>
          </w:p>
        </w:tc>
        <w:tc>
          <w:tcPr>
            <w:tcW w:w="1139" w:type="dxa"/>
            <w:tcBorders>
              <w:top w:val="single" w:sz="4" w:space="0" w:color="auto"/>
              <w:left w:val="none" w:sz="4" w:space="0" w:color="000000"/>
              <w:bottom w:val="single" w:sz="4" w:space="0" w:color="auto"/>
              <w:right w:val="single" w:sz="4" w:space="0" w:color="auto"/>
            </w:tcBorders>
            <w:shd w:val="clear" w:color="auto" w:fill="F2F2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2016.</w:t>
            </w:r>
          </w:p>
        </w:tc>
        <w:tc>
          <w:tcPr>
            <w:tcW w:w="2035" w:type="dxa"/>
            <w:gridSpan w:val="2"/>
            <w:tcBorders>
              <w:top w:val="single" w:sz="4" w:space="0" w:color="auto"/>
              <w:left w:val="none" w:sz="4" w:space="0" w:color="000000"/>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2030.</w:t>
            </w:r>
          </w:p>
        </w:tc>
        <w:tc>
          <w:tcPr>
            <w:tcW w:w="2057"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2040.</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7D4A93" w:rsidRPr="00654E3B" w:rsidRDefault="00EF0BEB">
            <w:pPr>
              <w:jc w:val="center"/>
              <w:rPr>
                <w:rFonts w:cs="Times New Roman"/>
                <w:b/>
                <w:sz w:val="20"/>
                <w:lang w:eastAsia="hr-HR"/>
              </w:rPr>
            </w:pPr>
            <w:r w:rsidRPr="00654E3B">
              <w:rPr>
                <w:rFonts w:cs="Times New Roman"/>
                <w:b/>
                <w:sz w:val="20"/>
                <w:lang w:eastAsia="hr-HR"/>
              </w:rPr>
              <w:t>2050.</w:t>
            </w:r>
          </w:p>
        </w:tc>
      </w:tr>
      <w:tr w:rsidR="007D4A93" w:rsidRPr="00654E3B">
        <w:trPr>
          <w:trHeight w:val="308"/>
        </w:trPr>
        <w:tc>
          <w:tcPr>
            <w:tcW w:w="1716" w:type="dxa"/>
            <w:vMerge/>
            <w:tcBorders>
              <w:left w:val="single" w:sz="4" w:space="0" w:color="auto"/>
              <w:bottom w:val="single" w:sz="4" w:space="0" w:color="auto"/>
              <w:right w:val="single" w:sz="4" w:space="0" w:color="auto"/>
            </w:tcBorders>
            <w:shd w:val="clear" w:color="auto" w:fill="F2F2F2"/>
            <w:noWrap/>
            <w:vAlign w:val="center"/>
          </w:tcPr>
          <w:p w:rsidR="007D4A93" w:rsidRPr="00654E3B" w:rsidRDefault="007D4A93">
            <w:pPr>
              <w:jc w:val="left"/>
              <w:rPr>
                <w:rFonts w:cs="Times New Roman"/>
                <w:sz w:val="20"/>
                <w:lang w:eastAsia="hr-HR"/>
              </w:rPr>
            </w:pPr>
          </w:p>
        </w:tc>
        <w:tc>
          <w:tcPr>
            <w:tcW w:w="1139" w:type="dxa"/>
            <w:tcBorders>
              <w:top w:val="none" w:sz="4" w:space="0" w:color="000000"/>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sz w:val="20"/>
                <w:lang w:eastAsia="hr-HR"/>
              </w:rPr>
            </w:pPr>
            <w:r w:rsidRPr="00654E3B">
              <w:rPr>
                <w:rFonts w:cs="Times New Roman"/>
                <w:sz w:val="20"/>
                <w:lang w:eastAsia="hr-HR"/>
              </w:rPr>
              <w:t>Ostvareno</w:t>
            </w:r>
          </w:p>
        </w:tc>
        <w:tc>
          <w:tcPr>
            <w:tcW w:w="639" w:type="dxa"/>
            <w:tcBorders>
              <w:top w:val="single" w:sz="4" w:space="0" w:color="auto"/>
              <w:left w:val="none" w:sz="4" w:space="0" w:color="000000"/>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c>
          <w:tcPr>
            <w:tcW w:w="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4A93" w:rsidRPr="00654E3B" w:rsidRDefault="00EF0BEB">
            <w:pPr>
              <w:jc w:val="center"/>
              <w:rPr>
                <w:rFonts w:cs="Times New Roman"/>
                <w:sz w:val="20"/>
                <w:lang w:eastAsia="hr-HR"/>
              </w:rPr>
            </w:pPr>
            <w:r w:rsidRPr="00654E3B">
              <w:rPr>
                <w:rFonts w:cs="Times New Roman"/>
                <w:sz w:val="20"/>
                <w:lang w:eastAsia="hr-HR"/>
              </w:rPr>
              <w:t>NUR</w:t>
            </w:r>
          </w:p>
        </w:tc>
        <w:tc>
          <w:tcPr>
            <w:tcW w:w="15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center"/>
              <w:rPr>
                <w:rFonts w:cs="Times New Roman"/>
                <w:b/>
                <w:sz w:val="20"/>
                <w:lang w:eastAsia="hr-HR"/>
              </w:rPr>
            </w:pPr>
            <w:r w:rsidRPr="00654E3B">
              <w:rPr>
                <w:rFonts w:cs="Times New Roman"/>
                <w:b/>
                <w:sz w:val="20"/>
                <w:lang w:eastAsia="hr-HR"/>
              </w:rPr>
              <w:t>NU1 do NU2</w:t>
            </w:r>
          </w:p>
        </w:tc>
      </w:tr>
      <w:tr w:rsidR="007D4A93" w:rsidRPr="00654E3B">
        <w:trPr>
          <w:trHeight w:val="323"/>
        </w:trPr>
        <w:tc>
          <w:tcPr>
            <w:tcW w:w="171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7D4A93" w:rsidRPr="00654E3B" w:rsidRDefault="00EF0BEB">
            <w:pPr>
              <w:jc w:val="left"/>
              <w:rPr>
                <w:rFonts w:cs="Times New Roman"/>
                <w:b/>
                <w:sz w:val="20"/>
                <w:lang w:eastAsia="hr-HR"/>
              </w:rPr>
            </w:pPr>
            <w:r w:rsidRPr="00654E3B">
              <w:rPr>
                <w:rFonts w:cs="Times New Roman"/>
                <w:b/>
                <w:sz w:val="20"/>
                <w:lang w:eastAsia="hr-HR"/>
              </w:rPr>
              <w:t>Izvan ETS-a</w:t>
            </w:r>
          </w:p>
        </w:tc>
        <w:tc>
          <w:tcPr>
            <w:tcW w:w="1139" w:type="dxa"/>
            <w:tcBorders>
              <w:top w:val="single" w:sz="4" w:space="0" w:color="auto"/>
              <w:left w:val="none" w:sz="4" w:space="0" w:color="000000"/>
              <w:bottom w:val="single" w:sz="4" w:space="0" w:color="auto"/>
              <w:right w:val="single" w:sz="4" w:space="0" w:color="auto"/>
            </w:tcBorders>
            <w:shd w:val="clear" w:color="auto" w:fill="auto"/>
            <w:noWrap/>
            <w:vAlign w:val="center"/>
          </w:tcPr>
          <w:p w:rsidR="007D4A93" w:rsidRPr="00654E3B" w:rsidRDefault="00EF0BEB">
            <w:pPr>
              <w:jc w:val="center"/>
              <w:rPr>
                <w:rFonts w:cs="Times New Roman"/>
                <w:sz w:val="20"/>
                <w:lang w:eastAsia="hr-HR"/>
              </w:rPr>
            </w:pPr>
            <w:r w:rsidRPr="00654E3B">
              <w:rPr>
                <w:rFonts w:cs="Times New Roman"/>
                <w:sz w:val="20"/>
                <w:lang w:eastAsia="hr-HR"/>
              </w:rPr>
              <w:t>-8,0</w:t>
            </w:r>
          </w:p>
        </w:tc>
        <w:tc>
          <w:tcPr>
            <w:tcW w:w="639" w:type="dxa"/>
            <w:tcBorders>
              <w:top w:val="single" w:sz="4" w:space="0" w:color="auto"/>
              <w:left w:val="none" w:sz="4" w:space="0" w:color="000000"/>
              <w:bottom w:val="single" w:sz="4" w:space="0" w:color="auto"/>
              <w:right w:val="single" w:sz="4" w:space="0" w:color="auto"/>
            </w:tcBorders>
            <w:shd w:val="clear" w:color="auto" w:fill="FFFFFF" w:themeFill="background1"/>
            <w:vAlign w:val="center"/>
          </w:tcPr>
          <w:p w:rsidR="007D4A93" w:rsidRPr="00654E3B" w:rsidRDefault="00EF0BEB">
            <w:pPr>
              <w:jc w:val="center"/>
              <w:rPr>
                <w:rFonts w:cs="Times New Roman"/>
                <w:lang w:eastAsia="hr-HR"/>
              </w:rPr>
            </w:pPr>
            <w:r w:rsidRPr="00654E3B">
              <w:rPr>
                <w:rFonts w:cs="Times New Roman"/>
                <w:sz w:val="20"/>
                <w:lang w:eastAsia="hr-HR"/>
              </w:rPr>
              <w:t>-12,7</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D4A93" w:rsidRPr="00654E3B" w:rsidRDefault="00EF0BEB">
            <w:pPr>
              <w:jc w:val="center"/>
              <w:rPr>
                <w:rFonts w:cs="Times New Roman"/>
                <w:b/>
                <w:lang w:eastAsia="hr-HR"/>
              </w:rPr>
            </w:pPr>
            <w:r w:rsidRPr="00654E3B">
              <w:rPr>
                <w:rFonts w:cs="Times New Roman"/>
                <w:b/>
                <w:sz w:val="20"/>
                <w:lang w:eastAsia="hr-HR"/>
              </w:rPr>
              <w:t>-18,5 do -21,7</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4A93" w:rsidRPr="00654E3B" w:rsidRDefault="00EF0BEB">
            <w:pPr>
              <w:jc w:val="center"/>
              <w:rPr>
                <w:rFonts w:cs="Times New Roman"/>
                <w:lang w:eastAsia="hr-HR"/>
              </w:rPr>
            </w:pPr>
            <w:r w:rsidRPr="00654E3B">
              <w:rPr>
                <w:rFonts w:cs="Times New Roman"/>
                <w:sz w:val="20"/>
                <w:lang w:eastAsia="hr-HR"/>
              </w:rPr>
              <w:t>-24,4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D4A93" w:rsidRPr="00654E3B" w:rsidRDefault="00EF0BEB">
            <w:pPr>
              <w:jc w:val="center"/>
              <w:rPr>
                <w:rFonts w:cs="Times New Roman"/>
                <w:b/>
                <w:lang w:eastAsia="hr-HR"/>
              </w:rPr>
            </w:pPr>
            <w:r w:rsidRPr="00654E3B">
              <w:rPr>
                <w:rFonts w:cs="Times New Roman"/>
                <w:b/>
                <w:sz w:val="20"/>
                <w:lang w:eastAsia="hr-HR"/>
              </w:rPr>
              <w:t>-32,3 do -37,8</w:t>
            </w:r>
          </w:p>
        </w:tc>
        <w:tc>
          <w:tcPr>
            <w:tcW w:w="6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4A93" w:rsidRPr="00654E3B" w:rsidRDefault="00EF0BEB">
            <w:pPr>
              <w:jc w:val="center"/>
              <w:rPr>
                <w:rFonts w:cs="Times New Roman"/>
                <w:lang w:eastAsia="hr-HR"/>
              </w:rPr>
            </w:pPr>
            <w:r w:rsidRPr="00654E3B">
              <w:rPr>
                <w:rFonts w:cs="Times New Roman"/>
                <w:sz w:val="20"/>
                <w:lang w:eastAsia="hr-HR"/>
              </w:rPr>
              <w:t>-36,5</w:t>
            </w:r>
          </w:p>
        </w:tc>
        <w:tc>
          <w:tcPr>
            <w:tcW w:w="1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D4A93" w:rsidRPr="00654E3B" w:rsidRDefault="00EF0BEB">
            <w:pPr>
              <w:jc w:val="center"/>
              <w:rPr>
                <w:rFonts w:cs="Times New Roman"/>
                <w:b/>
                <w:lang w:eastAsia="hr-HR"/>
              </w:rPr>
            </w:pPr>
            <w:r w:rsidRPr="00654E3B">
              <w:rPr>
                <w:rFonts w:cs="Times New Roman"/>
                <w:b/>
                <w:sz w:val="20"/>
                <w:lang w:eastAsia="hr-HR"/>
              </w:rPr>
              <w:t>-50,6 do -64,0</w:t>
            </w:r>
          </w:p>
        </w:tc>
      </w:tr>
    </w:tbl>
    <w:p w:rsidR="007D4A93" w:rsidRPr="00654E3B" w:rsidRDefault="007D4A93">
      <w:pPr>
        <w:jc w:val="center"/>
        <w:rPr>
          <w:rFonts w:cs="Times New Roman"/>
        </w:rPr>
      </w:pPr>
      <w:bookmarkStart w:id="169" w:name="_Toc484158411"/>
    </w:p>
    <w:p w:rsidR="007D4A93" w:rsidRPr="00654E3B" w:rsidRDefault="00EF0BEB">
      <w:pPr>
        <w:pStyle w:val="Tablicanaslov"/>
        <w:keepNext/>
        <w:spacing w:after="120"/>
        <w:rPr>
          <w:rFonts w:cs="Times New Roman"/>
          <w:i/>
          <w:sz w:val="22"/>
          <w:szCs w:val="22"/>
        </w:rPr>
      </w:pPr>
      <w:bookmarkStart w:id="170" w:name="_Toc33417112"/>
      <w:r w:rsidRPr="00654E3B">
        <w:rPr>
          <w:rFonts w:cs="Times New Roman"/>
          <w:i/>
          <w:sz w:val="22"/>
          <w:szCs w:val="22"/>
        </w:rPr>
        <w:t>Tablica 3-3: Pokazatelji obnovljivih izvora energije i energetske učinkovitosti u niskougljičnim scenarijima</w:t>
      </w:r>
      <w:bookmarkEnd w:id="170"/>
      <w:r w:rsidRPr="00654E3B">
        <w:rPr>
          <w:rFonts w:cs="Times New Roman"/>
          <w:i/>
          <w:sz w:val="22"/>
          <w:szCs w:val="22"/>
        </w:rPr>
        <w:t xml:space="preserve"> </w:t>
      </w:r>
      <w:bookmarkEnd w:id="169"/>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038"/>
        <w:gridCol w:w="2117"/>
        <w:gridCol w:w="2117"/>
        <w:gridCol w:w="2119"/>
      </w:tblGrid>
      <w:tr w:rsidR="007D4A93" w:rsidRPr="00654E3B">
        <w:trPr>
          <w:trHeight w:val="308"/>
        </w:trPr>
        <w:tc>
          <w:tcPr>
            <w:tcW w:w="1672" w:type="dxa"/>
            <w:vMerge w:val="restart"/>
            <w:shd w:val="clear" w:color="auto" w:fill="F2F2F2"/>
            <w:noWrap/>
            <w:vAlign w:val="center"/>
          </w:tcPr>
          <w:p w:rsidR="007D4A93" w:rsidRPr="00654E3B" w:rsidRDefault="00EF0BEB">
            <w:pPr>
              <w:keepNext/>
              <w:jc w:val="left"/>
              <w:rPr>
                <w:rFonts w:cs="Times New Roman"/>
                <w:b/>
                <w:sz w:val="20"/>
                <w:lang w:eastAsia="hr-HR"/>
              </w:rPr>
            </w:pPr>
            <w:r w:rsidRPr="00654E3B">
              <w:rPr>
                <w:rFonts w:cs="Times New Roman"/>
                <w:b/>
                <w:sz w:val="20"/>
                <w:lang w:eastAsia="hr-HR"/>
              </w:rPr>
              <w:t>Obnovljivi izvori energije i energetska učinkovitost</w:t>
            </w:r>
          </w:p>
        </w:tc>
        <w:tc>
          <w:tcPr>
            <w:tcW w:w="1038" w:type="dxa"/>
            <w:shd w:val="clear" w:color="auto" w:fill="F2F2F2"/>
            <w:noWrap/>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2016.</w:t>
            </w:r>
          </w:p>
        </w:tc>
        <w:tc>
          <w:tcPr>
            <w:tcW w:w="2117" w:type="dxa"/>
            <w:shd w:val="clear" w:color="auto" w:fill="F2F2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2030.</w:t>
            </w:r>
          </w:p>
        </w:tc>
        <w:tc>
          <w:tcPr>
            <w:tcW w:w="2117" w:type="dxa"/>
            <w:shd w:val="clear" w:color="auto" w:fill="F2F2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2040.</w:t>
            </w:r>
          </w:p>
        </w:tc>
        <w:tc>
          <w:tcPr>
            <w:tcW w:w="2119" w:type="dxa"/>
            <w:shd w:val="clear" w:color="auto" w:fill="F2F2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2050.</w:t>
            </w:r>
          </w:p>
        </w:tc>
      </w:tr>
      <w:tr w:rsidR="007D4A93" w:rsidRPr="00654E3B">
        <w:trPr>
          <w:trHeight w:val="308"/>
        </w:trPr>
        <w:tc>
          <w:tcPr>
            <w:tcW w:w="1672" w:type="dxa"/>
            <w:vMerge/>
            <w:shd w:val="clear" w:color="auto" w:fill="F2F2F2"/>
            <w:noWrap/>
            <w:vAlign w:val="center"/>
          </w:tcPr>
          <w:p w:rsidR="007D4A93" w:rsidRPr="00654E3B" w:rsidRDefault="007D4A93">
            <w:pPr>
              <w:keepNext/>
              <w:jc w:val="left"/>
              <w:rPr>
                <w:rFonts w:cs="Times New Roman"/>
                <w:sz w:val="20"/>
                <w:lang w:eastAsia="hr-HR"/>
              </w:rPr>
            </w:pPr>
          </w:p>
        </w:tc>
        <w:tc>
          <w:tcPr>
            <w:tcW w:w="1038" w:type="dxa"/>
            <w:shd w:val="clear" w:color="auto" w:fill="F2F2F2" w:themeFill="background1" w:themeFillShade="F2"/>
            <w:noWrap/>
            <w:vAlign w:val="center"/>
          </w:tcPr>
          <w:p w:rsidR="007D4A93" w:rsidRPr="00654E3B" w:rsidRDefault="00EF0BEB">
            <w:pPr>
              <w:keepNext/>
              <w:jc w:val="center"/>
              <w:rPr>
                <w:rFonts w:cs="Times New Roman"/>
                <w:sz w:val="20"/>
                <w:lang w:eastAsia="hr-HR"/>
              </w:rPr>
            </w:pPr>
            <w:r w:rsidRPr="00654E3B">
              <w:rPr>
                <w:rFonts w:cs="Times New Roman"/>
                <w:sz w:val="20"/>
                <w:lang w:eastAsia="hr-HR"/>
              </w:rPr>
              <w:t>Ostvareno</w:t>
            </w:r>
          </w:p>
        </w:tc>
        <w:tc>
          <w:tcPr>
            <w:tcW w:w="2117" w:type="dxa"/>
            <w:shd w:val="clear" w:color="auto" w:fill="F2F2F2" w:themeFill="background1" w:themeFillShade="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NU1 do NU2</w:t>
            </w:r>
          </w:p>
        </w:tc>
        <w:tc>
          <w:tcPr>
            <w:tcW w:w="2117" w:type="dxa"/>
            <w:shd w:val="clear" w:color="auto" w:fill="F2F2F2" w:themeFill="background1" w:themeFillShade="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NU1 do NU2</w:t>
            </w:r>
          </w:p>
        </w:tc>
        <w:tc>
          <w:tcPr>
            <w:tcW w:w="2119" w:type="dxa"/>
            <w:shd w:val="clear" w:color="auto" w:fill="F2F2F2" w:themeFill="background1" w:themeFillShade="F2"/>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NU1 do NU2</w:t>
            </w:r>
          </w:p>
        </w:tc>
      </w:tr>
      <w:tr w:rsidR="007D4A93" w:rsidRPr="00654E3B">
        <w:trPr>
          <w:trHeight w:val="308"/>
        </w:trPr>
        <w:tc>
          <w:tcPr>
            <w:tcW w:w="1672" w:type="dxa"/>
            <w:shd w:val="clear" w:color="auto" w:fill="F2F2F2"/>
            <w:noWrap/>
            <w:vAlign w:val="center"/>
          </w:tcPr>
          <w:p w:rsidR="007D4A93" w:rsidRPr="00654E3B" w:rsidRDefault="00EF0BEB">
            <w:pPr>
              <w:keepNext/>
              <w:jc w:val="left"/>
              <w:rPr>
                <w:rFonts w:cs="Times New Roman"/>
                <w:sz w:val="20"/>
                <w:lang w:eastAsia="hr-HR"/>
              </w:rPr>
            </w:pPr>
            <w:r w:rsidRPr="00654E3B">
              <w:rPr>
                <w:rFonts w:cs="Times New Roman"/>
                <w:sz w:val="20"/>
                <w:lang w:eastAsia="hr-HR"/>
              </w:rPr>
              <w:t>Udio OIE u bruto neposrednoj potrošnji energije (</w:t>
            </w:r>
            <w:r w:rsidR="00060992" w:rsidRPr="00654E3B">
              <w:rPr>
                <w:rFonts w:cs="Times New Roman"/>
                <w:sz w:val="20"/>
                <w:lang w:eastAsia="hr-HR"/>
              </w:rPr>
              <w:t xml:space="preserve"> %</w:t>
            </w:r>
            <w:r w:rsidRPr="00654E3B">
              <w:rPr>
                <w:rFonts w:cs="Times New Roman"/>
                <w:sz w:val="20"/>
                <w:lang w:eastAsia="hr-HR"/>
              </w:rPr>
              <w:t>)</w:t>
            </w:r>
          </w:p>
        </w:tc>
        <w:tc>
          <w:tcPr>
            <w:tcW w:w="1038" w:type="dxa"/>
            <w:shd w:val="clear" w:color="auto" w:fill="auto"/>
            <w:noWrap/>
            <w:vAlign w:val="center"/>
          </w:tcPr>
          <w:p w:rsidR="007D4A93" w:rsidRPr="00654E3B" w:rsidRDefault="00EF0BEB">
            <w:pPr>
              <w:keepNext/>
              <w:jc w:val="center"/>
              <w:rPr>
                <w:rFonts w:cs="Times New Roman"/>
                <w:sz w:val="20"/>
                <w:lang w:eastAsia="hr-HR"/>
              </w:rPr>
            </w:pPr>
            <w:r w:rsidRPr="00654E3B">
              <w:rPr>
                <w:rFonts w:cs="Times New Roman"/>
                <w:sz w:val="20"/>
                <w:lang w:eastAsia="hr-HR"/>
              </w:rPr>
              <w:t>28,3</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36,4</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44,1 do 45,8</w:t>
            </w:r>
          </w:p>
        </w:tc>
        <w:tc>
          <w:tcPr>
            <w:tcW w:w="2119"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53,2 do 65,6</w:t>
            </w:r>
          </w:p>
        </w:tc>
      </w:tr>
      <w:tr w:rsidR="007D4A93" w:rsidRPr="00654E3B">
        <w:trPr>
          <w:trHeight w:val="308"/>
        </w:trPr>
        <w:tc>
          <w:tcPr>
            <w:tcW w:w="1672" w:type="dxa"/>
            <w:shd w:val="clear" w:color="auto" w:fill="F2F2F2"/>
            <w:noWrap/>
            <w:vAlign w:val="center"/>
          </w:tcPr>
          <w:p w:rsidR="007D4A93" w:rsidRPr="00654E3B" w:rsidRDefault="00EF0BEB">
            <w:pPr>
              <w:keepNext/>
              <w:jc w:val="left"/>
              <w:rPr>
                <w:rFonts w:cs="Times New Roman"/>
                <w:sz w:val="20"/>
                <w:lang w:eastAsia="hr-HR"/>
              </w:rPr>
            </w:pPr>
            <w:r w:rsidRPr="00654E3B">
              <w:rPr>
                <w:rFonts w:cs="Times New Roman"/>
                <w:sz w:val="20"/>
                <w:lang w:eastAsia="hr-HR"/>
              </w:rPr>
              <w:t>Neposredna potrošnja energije (PJ)</w:t>
            </w:r>
          </w:p>
        </w:tc>
        <w:tc>
          <w:tcPr>
            <w:tcW w:w="1038" w:type="dxa"/>
            <w:shd w:val="clear" w:color="auto" w:fill="auto"/>
            <w:noWrap/>
            <w:vAlign w:val="center"/>
          </w:tcPr>
          <w:p w:rsidR="007D4A93" w:rsidRPr="00654E3B" w:rsidRDefault="00EF0BEB">
            <w:pPr>
              <w:keepNext/>
              <w:jc w:val="center"/>
              <w:rPr>
                <w:rFonts w:cs="Times New Roman"/>
                <w:sz w:val="20"/>
                <w:lang w:eastAsia="hr-HR"/>
              </w:rPr>
            </w:pPr>
            <w:r w:rsidRPr="00654E3B">
              <w:rPr>
                <w:rFonts w:cs="Times New Roman"/>
                <w:sz w:val="20"/>
                <w:lang w:eastAsia="hr-HR"/>
              </w:rPr>
              <w:t>277,3</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286,9 do 272,5</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265,2 do 238,3</w:t>
            </w:r>
          </w:p>
        </w:tc>
        <w:tc>
          <w:tcPr>
            <w:tcW w:w="2119"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225,6 do 189,6</w:t>
            </w:r>
          </w:p>
        </w:tc>
      </w:tr>
      <w:tr w:rsidR="007D4A93" w:rsidRPr="00654E3B">
        <w:trPr>
          <w:trHeight w:val="308"/>
        </w:trPr>
        <w:tc>
          <w:tcPr>
            <w:tcW w:w="1672" w:type="dxa"/>
            <w:shd w:val="clear" w:color="auto" w:fill="F2F2F2"/>
            <w:noWrap/>
            <w:vAlign w:val="center"/>
          </w:tcPr>
          <w:p w:rsidR="007D4A93" w:rsidRPr="00654E3B" w:rsidRDefault="00EF0BEB">
            <w:pPr>
              <w:keepNext/>
              <w:jc w:val="left"/>
              <w:rPr>
                <w:rFonts w:cs="Times New Roman"/>
                <w:sz w:val="20"/>
                <w:lang w:eastAsia="hr-HR"/>
              </w:rPr>
            </w:pPr>
            <w:r w:rsidRPr="00654E3B">
              <w:rPr>
                <w:rFonts w:cs="Times New Roman"/>
                <w:sz w:val="20"/>
                <w:lang w:eastAsia="hr-HR"/>
              </w:rPr>
              <w:t>Ukupna potrošnja energije* (PJ)</w:t>
            </w:r>
          </w:p>
        </w:tc>
        <w:tc>
          <w:tcPr>
            <w:tcW w:w="1038" w:type="dxa"/>
            <w:shd w:val="clear" w:color="auto" w:fill="auto"/>
            <w:noWrap/>
            <w:vAlign w:val="center"/>
          </w:tcPr>
          <w:p w:rsidR="007D4A93" w:rsidRPr="00654E3B" w:rsidRDefault="00EF0BEB">
            <w:pPr>
              <w:keepNext/>
              <w:jc w:val="center"/>
              <w:rPr>
                <w:rFonts w:cs="Times New Roman"/>
                <w:sz w:val="20"/>
                <w:lang w:eastAsia="hr-HR"/>
              </w:rPr>
            </w:pPr>
            <w:r w:rsidRPr="00654E3B">
              <w:rPr>
                <w:rFonts w:cs="Times New Roman"/>
                <w:sz w:val="20"/>
                <w:lang w:eastAsia="hr-HR"/>
              </w:rPr>
              <w:t>359,4</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344,4 do 328,7</w:t>
            </w:r>
          </w:p>
        </w:tc>
        <w:tc>
          <w:tcPr>
            <w:tcW w:w="2117"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325,7 do 292,2</w:t>
            </w:r>
          </w:p>
        </w:tc>
        <w:tc>
          <w:tcPr>
            <w:tcW w:w="2119" w:type="dxa"/>
            <w:vAlign w:val="center"/>
          </w:tcPr>
          <w:p w:rsidR="007D4A93" w:rsidRPr="00654E3B" w:rsidRDefault="00EF0BEB">
            <w:pPr>
              <w:keepNext/>
              <w:jc w:val="center"/>
              <w:rPr>
                <w:rFonts w:cs="Times New Roman"/>
                <w:b/>
                <w:sz w:val="20"/>
                <w:lang w:eastAsia="hr-HR"/>
              </w:rPr>
            </w:pPr>
            <w:r w:rsidRPr="00654E3B">
              <w:rPr>
                <w:rFonts w:cs="Times New Roman"/>
                <w:b/>
                <w:sz w:val="20"/>
                <w:lang w:eastAsia="hr-HR"/>
              </w:rPr>
              <w:t>287,4 do 251,0</w:t>
            </w:r>
          </w:p>
        </w:tc>
      </w:tr>
    </w:tbl>
    <w:p w:rsidR="007D4A93" w:rsidRPr="00654E3B" w:rsidRDefault="00EF0BEB">
      <w:pPr>
        <w:rPr>
          <w:rFonts w:cs="Times New Roman"/>
          <w:sz w:val="20"/>
        </w:rPr>
      </w:pPr>
      <w:r w:rsidRPr="00654E3B">
        <w:rPr>
          <w:rFonts w:cs="Times New Roman"/>
          <w:sz w:val="20"/>
        </w:rPr>
        <w:t>* - ukupna potrošnja energije bez neenergetske potrošnje</w:t>
      </w:r>
    </w:p>
    <w:p w:rsidR="007D4A93" w:rsidRPr="00654E3B" w:rsidRDefault="00EF0BEB">
      <w:pPr>
        <w:rPr>
          <w:rFonts w:cs="Times New Roman"/>
          <w:i/>
          <w:iCs/>
        </w:rPr>
      </w:pPr>
      <w:r w:rsidRPr="00654E3B">
        <w:rPr>
          <w:rFonts w:cs="Times New Roman"/>
          <w:b/>
        </w:rPr>
        <w:t>Scenarij NU1</w:t>
      </w:r>
      <w:r w:rsidRPr="00654E3B">
        <w:rPr>
          <w:rFonts w:cs="Times New Roman"/>
        </w:rPr>
        <w:t xml:space="preserve"> prikazuje trend smanjenja emisija kontinuirano</w:t>
      </w:r>
      <w:r w:rsidR="003A3F1B" w:rsidRPr="00654E3B">
        <w:rPr>
          <w:rFonts w:cs="Times New Roman"/>
        </w:rPr>
        <w:t>,</w:t>
      </w:r>
      <w:r w:rsidRPr="00654E3B">
        <w:rPr>
          <w:rFonts w:cs="Times New Roman"/>
        </w:rPr>
        <w:t xml:space="preserve"> tako da je u 2030. godini emisija za 33,5</w:t>
      </w:r>
      <w:r w:rsidR="00060992" w:rsidRPr="00654E3B">
        <w:rPr>
          <w:rFonts w:cs="Times New Roman"/>
        </w:rPr>
        <w:t xml:space="preserve"> %</w:t>
      </w:r>
      <w:r w:rsidRPr="00654E3B">
        <w:rPr>
          <w:rFonts w:cs="Times New Roman"/>
        </w:rPr>
        <w:t xml:space="preserve"> manja od emisije 1990. godine, a u 2050. godini za 56,8</w:t>
      </w:r>
      <w:r w:rsidR="00060992" w:rsidRPr="00654E3B">
        <w:rPr>
          <w:rFonts w:cs="Times New Roman"/>
        </w:rPr>
        <w:t xml:space="preserve"> %</w:t>
      </w:r>
      <w:r w:rsidRPr="00654E3B">
        <w:rPr>
          <w:rFonts w:cs="Times New Roman"/>
        </w:rPr>
        <w:t xml:space="preserve"> manja od emisije 1990. godine. Hrvatska ovim scenarijem uvelike ispunjava obvezu smanjenja emisije do razine određene za sektore izvan ETS-a za 2030. godinu.</w:t>
      </w:r>
    </w:p>
    <w:p w:rsidR="007D4A93" w:rsidRPr="00654E3B" w:rsidRDefault="00EF0BEB">
      <w:pPr>
        <w:rPr>
          <w:rFonts w:cs="Times New Roman"/>
          <w:i/>
          <w:iCs/>
        </w:rPr>
      </w:pPr>
      <w:r w:rsidRPr="00654E3B">
        <w:rPr>
          <w:rFonts w:cs="Times New Roman"/>
          <w:b/>
        </w:rPr>
        <w:t>Scenarij NU2</w:t>
      </w:r>
      <w:r w:rsidRPr="00654E3B">
        <w:rPr>
          <w:rFonts w:cs="Times New Roman"/>
        </w:rPr>
        <w:t xml:space="preserve"> prikazuje trend smanjenja emisija, vrlo sličan trendu scenarija NU1 do 2030. godine, u 2030. godini emisija je za 36,7</w:t>
      </w:r>
      <w:r w:rsidR="00060992" w:rsidRPr="00654E3B">
        <w:rPr>
          <w:rFonts w:cs="Times New Roman"/>
        </w:rPr>
        <w:t xml:space="preserve"> %</w:t>
      </w:r>
      <w:r w:rsidRPr="00654E3B">
        <w:rPr>
          <w:rFonts w:cs="Times New Roman"/>
        </w:rPr>
        <w:t xml:space="preserve"> manja od emisije 1990. godine, a nakon 2040. godine scenarij NU2 prikazuje snažnije smanjenje, tako da je u 2050. godini emisija za 73,1</w:t>
      </w:r>
      <w:r w:rsidR="00060992" w:rsidRPr="00654E3B">
        <w:rPr>
          <w:rFonts w:cs="Times New Roman"/>
        </w:rPr>
        <w:t xml:space="preserve"> %</w:t>
      </w:r>
      <w:r w:rsidRPr="00654E3B">
        <w:rPr>
          <w:rFonts w:cs="Times New Roman"/>
        </w:rPr>
        <w:t xml:space="preserve"> manja od emisije 1990. godine. </w:t>
      </w:r>
    </w:p>
    <w:p w:rsidR="007D4A93" w:rsidRPr="00F01191" w:rsidRDefault="00EF0BEB">
      <w:pPr>
        <w:rPr>
          <w:rFonts w:cs="Times New Roman"/>
          <w:i/>
          <w:iCs/>
        </w:rPr>
      </w:pPr>
      <w:r w:rsidRPr="00654E3B">
        <w:rPr>
          <w:rFonts w:cs="Times New Roman"/>
        </w:rPr>
        <w:t xml:space="preserve">Klimatska neutralnost do 2050. </w:t>
      </w:r>
      <w:r w:rsidR="0097190B" w:rsidRPr="00654E3B">
        <w:rPr>
          <w:rFonts w:cs="Times New Roman"/>
        </w:rPr>
        <w:t xml:space="preserve">godine </w:t>
      </w:r>
      <w:r w:rsidRPr="00654E3B">
        <w:rPr>
          <w:rFonts w:cs="Times New Roman"/>
        </w:rPr>
        <w:t>u odnosu na 1990. godinu (tzv. Scenarij neto nulte emisije)</w:t>
      </w:r>
      <w:r w:rsidR="0097190B" w:rsidRPr="00654E3B">
        <w:rPr>
          <w:rFonts w:cs="Times New Roman"/>
        </w:rPr>
        <w:t>,</w:t>
      </w:r>
      <w:r w:rsidRPr="00654E3B">
        <w:rPr>
          <w:rFonts w:cs="Times New Roman"/>
        </w:rPr>
        <w:t xml:space="preserve"> je prema sadašnjem stanju spoznaja i dostupnih tehnologija teško postići. Potrebno je napraviti analizu</w:t>
      </w:r>
      <w:r w:rsidR="0097190B" w:rsidRPr="00654E3B">
        <w:rPr>
          <w:rFonts w:cs="Times New Roman"/>
        </w:rPr>
        <w:t>,</w:t>
      </w:r>
      <w:r w:rsidRPr="00654E3B">
        <w:rPr>
          <w:rFonts w:cs="Times New Roman"/>
        </w:rPr>
        <w:t xml:space="preserve"> kojim bi se to dodatnim mjerama moglo postići. Planovi o tome su navedeni na kraju u poglavlju </w:t>
      </w:r>
      <w:r w:rsidRPr="00F01191">
        <w:rPr>
          <w:rFonts w:cs="Times New Roman"/>
        </w:rPr>
        <w:fldChar w:fldCharType="begin"/>
      </w:r>
      <w:r w:rsidRPr="00654E3B">
        <w:rPr>
          <w:rFonts w:cs="Times New Roman"/>
        </w:rPr>
        <w:instrText xml:space="preserve"> REF _Ref59111247 \h  \* MERGEFORMAT </w:instrText>
      </w:r>
      <w:r w:rsidRPr="00F01191">
        <w:rPr>
          <w:rFonts w:cs="Times New Roman"/>
        </w:rPr>
      </w:r>
      <w:r w:rsidRPr="00F01191">
        <w:rPr>
          <w:rFonts w:cs="Times New Roman"/>
        </w:rPr>
        <w:fldChar w:fldCharType="separate"/>
      </w:r>
      <w:r w:rsidR="00847326" w:rsidRPr="00654E3B">
        <w:rPr>
          <w:rFonts w:cs="Times New Roman"/>
        </w:rPr>
        <w:t>15.</w:t>
      </w:r>
      <w:r w:rsidR="00847326" w:rsidRPr="00654E3B">
        <w:rPr>
          <w:rFonts w:cs="Times New Roman"/>
        </w:rPr>
        <w:tab/>
        <w:t>INFORMACIJA O SCENARIJU KLIMATSKE NEUTRALNOSTI</w:t>
      </w:r>
      <w:r w:rsidRPr="00F01191">
        <w:rPr>
          <w:rFonts w:cs="Times New Roman"/>
        </w:rPr>
        <w:fldChar w:fldCharType="end"/>
      </w:r>
      <w:r w:rsidRPr="00F01191">
        <w:rPr>
          <w:rFonts w:cs="Times New Roman"/>
        </w:rPr>
        <w:t>.</w:t>
      </w:r>
    </w:p>
    <w:p w:rsidR="007D4A93" w:rsidRPr="00654E3B" w:rsidRDefault="00EF0BEB">
      <w:pPr>
        <w:pStyle w:val="Heading2"/>
        <w:rPr>
          <w:rFonts w:ascii="Times New Roman" w:hAnsi="Times New Roman" w:cs="Times New Roman"/>
        </w:rPr>
      </w:pPr>
      <w:bookmarkStart w:id="171" w:name="_Toc69810155"/>
      <w:bookmarkStart w:id="172" w:name="_Toc20841298"/>
      <w:bookmarkStart w:id="173" w:name="_Toc20841404"/>
      <w:r w:rsidRPr="00654E3B">
        <w:rPr>
          <w:rFonts w:ascii="Times New Roman" w:hAnsi="Times New Roman" w:cs="Times New Roman"/>
        </w:rPr>
        <w:t>3.2.</w:t>
      </w:r>
      <w:r w:rsidRPr="00654E3B">
        <w:rPr>
          <w:rFonts w:ascii="Times New Roman" w:hAnsi="Times New Roman" w:cs="Times New Roman"/>
        </w:rPr>
        <w:tab/>
        <w:t>CILJEVI REPUBLIKE HRVATSKE</w:t>
      </w:r>
      <w:bookmarkEnd w:id="171"/>
    </w:p>
    <w:bookmarkEnd w:id="172"/>
    <w:bookmarkEnd w:id="173"/>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Ciljevi smanjenja emisije stakleničkih plinova temelje se na sljedećem: </w:t>
      </w:r>
    </w:p>
    <w:p w:rsidR="007D4A93" w:rsidRPr="00654E3B" w:rsidRDefault="00EF0BEB" w:rsidP="000C6795">
      <w:pPr>
        <w:pStyle w:val="ListParagraph"/>
        <w:numPr>
          <w:ilvl w:val="0"/>
          <w:numId w:val="10"/>
        </w:numPr>
        <w:rPr>
          <w:rFonts w:cs="Times New Roman"/>
        </w:rPr>
      </w:pPr>
      <w:r w:rsidRPr="00654E3B">
        <w:rPr>
          <w:rFonts w:cs="Times New Roman"/>
        </w:rPr>
        <w:t>ciljevima smanjenja emisije koji proizlaze iz UNFCCC-a i Pariškog sporazuma</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t>ciljevima smanjenja emisije koji proizlaze iz interne raspodjele EU, a vezano za sektore izvan ETS-a</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t>ciljevima udjela obnovljivih izvora energije i ciljevima smanjenja energetske potrošnje, temeljem EU politike</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t>koristima Republike Hrvatske u smislu postavljenih načela i ciljeva u Poglavlju 1.2. ove Niskougljične strategije</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lastRenderedPageBreak/>
        <w:t xml:space="preserve">uvažavanjem postojećeg trenda i nastavka </w:t>
      </w:r>
      <w:r w:rsidR="009B28FE" w:rsidRPr="00654E3B">
        <w:rPr>
          <w:rFonts w:cs="Times New Roman"/>
        </w:rPr>
        <w:t>temeljem usvojenih politika i planova</w:t>
      </w:r>
      <w:r w:rsidR="0097190B" w:rsidRPr="00654E3B">
        <w:rPr>
          <w:rFonts w:cs="Times New Roman"/>
        </w:rPr>
        <w:t>,</w:t>
      </w:r>
    </w:p>
    <w:p w:rsidR="007D4A93" w:rsidRPr="00654E3B" w:rsidRDefault="00EF0BEB" w:rsidP="000C6795">
      <w:pPr>
        <w:pStyle w:val="ListParagraph"/>
        <w:numPr>
          <w:ilvl w:val="0"/>
          <w:numId w:val="10"/>
        </w:numPr>
        <w:rPr>
          <w:rFonts w:cs="Times New Roman"/>
        </w:rPr>
      </w:pPr>
      <w:r w:rsidRPr="00654E3B">
        <w:rPr>
          <w:rFonts w:cs="Times New Roman"/>
        </w:rPr>
        <w:t>utjecajima na gospodarstvo, okoliš i društvo.</w:t>
      </w:r>
    </w:p>
    <w:p w:rsidR="007D4A93" w:rsidRPr="00654E3B" w:rsidRDefault="00EF0BEB">
      <w:pPr>
        <w:rPr>
          <w:rFonts w:cs="Times New Roman"/>
        </w:rPr>
      </w:pPr>
      <w:r w:rsidRPr="00654E3B">
        <w:rPr>
          <w:rFonts w:cs="Times New Roman"/>
        </w:rPr>
        <w:t>Ciljevi se promatraju za razdoblje do 2030. i do 2050. godine. Postavljeni ciljevi mogu se postići različitim scenarijima koji imaju različite prateće učinke na gospodarstvo, okoliš i društvo.</w:t>
      </w:r>
    </w:p>
    <w:p w:rsidR="007D4A93" w:rsidRPr="00654E3B" w:rsidRDefault="00EF0BEB" w:rsidP="009F6651">
      <w:pPr>
        <w:pStyle w:val="Heading3"/>
      </w:pPr>
      <w:bookmarkStart w:id="174" w:name="_Toc476226508"/>
      <w:bookmarkStart w:id="175" w:name="_Toc475716134"/>
      <w:bookmarkStart w:id="176" w:name="_Toc475714721"/>
      <w:bookmarkStart w:id="177" w:name="_Toc436823711"/>
      <w:bookmarkStart w:id="178" w:name="_Toc477868475"/>
      <w:bookmarkStart w:id="179" w:name="_Toc478995873"/>
      <w:bookmarkStart w:id="180" w:name="_Toc484158977"/>
      <w:bookmarkStart w:id="181" w:name="_Toc69810156"/>
      <w:r w:rsidRPr="00515372">
        <w:t>3.2.</w:t>
      </w:r>
      <w:r w:rsidR="00515372">
        <w:t>1</w:t>
      </w:r>
      <w:r w:rsidRPr="00654E3B">
        <w:t>.</w:t>
      </w:r>
      <w:r w:rsidRPr="00654E3B">
        <w:tab/>
        <w:t>Ciljevi Republike Hrvatske do 2030. godine</w:t>
      </w:r>
      <w:bookmarkEnd w:id="174"/>
      <w:bookmarkEnd w:id="175"/>
      <w:bookmarkEnd w:id="176"/>
      <w:bookmarkEnd w:id="177"/>
      <w:bookmarkEnd w:id="178"/>
      <w:bookmarkEnd w:id="179"/>
      <w:bookmarkEnd w:id="180"/>
      <w:bookmarkEnd w:id="181"/>
      <w:r w:rsidRPr="00654E3B">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Okvirom klimatsko-energetske politike utvrđene su smjernice djelovanja EU do 2030. godine. Postavljen je cilj smanjenja emisije stakleničkih plinova za najmanje 40</w:t>
      </w:r>
      <w:r w:rsidR="00060992" w:rsidRPr="00654E3B">
        <w:rPr>
          <w:rFonts w:cs="Times New Roman"/>
        </w:rPr>
        <w:t xml:space="preserve"> %</w:t>
      </w:r>
      <w:r w:rsidRPr="00654E3B">
        <w:rPr>
          <w:rFonts w:cs="Times New Roman"/>
        </w:rPr>
        <w:t xml:space="preserve"> u odnosu na 1990. godinu. To će se provesti tako da se emisija u ETS-u smanji za 43</w:t>
      </w:r>
      <w:r w:rsidR="00060992" w:rsidRPr="00654E3B">
        <w:rPr>
          <w:rFonts w:cs="Times New Roman"/>
        </w:rPr>
        <w:t xml:space="preserve"> %</w:t>
      </w:r>
      <w:r w:rsidRPr="00654E3B">
        <w:rPr>
          <w:rFonts w:cs="Times New Roman"/>
        </w:rPr>
        <w:t xml:space="preserve"> u odnosu na 2005. godinu, a u sektorima izvan ETS-a za 30</w:t>
      </w:r>
      <w:r w:rsidR="00060992" w:rsidRPr="00654E3B">
        <w:rPr>
          <w:rFonts w:cs="Times New Roman"/>
        </w:rPr>
        <w:t xml:space="preserve"> %</w:t>
      </w:r>
      <w:r w:rsidRPr="00654E3B">
        <w:rPr>
          <w:rFonts w:cs="Times New Roman"/>
        </w:rPr>
        <w:t xml:space="preserve"> u odnosu na 2005. godinu.</w:t>
      </w:r>
    </w:p>
    <w:p w:rsidR="007D4A93" w:rsidRPr="00654E3B" w:rsidRDefault="00EF0BEB">
      <w:pPr>
        <w:rPr>
          <w:rFonts w:eastAsia="Times New Roman" w:cs="Times New Roman"/>
          <w:lang w:eastAsia="hr-HR"/>
        </w:rPr>
      </w:pPr>
      <w:r w:rsidRPr="00654E3B">
        <w:rPr>
          <w:rFonts w:cs="Times New Roman"/>
        </w:rPr>
        <w:t xml:space="preserve">Utvrđeno je da će se nastaviti s raspodjelom obveza po državama za sektore izvan ETS-a, ali se neće određivati brojčani ciljevi za obnovljive izvore energije za svaku državu primjenom jedinstvene metodologije. Svaka država sama </w:t>
      </w:r>
      <w:r w:rsidR="009B28FE" w:rsidRPr="00654E3B">
        <w:rPr>
          <w:rFonts w:cs="Times New Roman"/>
        </w:rPr>
        <w:t>odlučuje</w:t>
      </w:r>
      <w:r w:rsidRPr="00654E3B">
        <w:rPr>
          <w:rFonts w:cs="Times New Roman"/>
        </w:rPr>
        <w:t xml:space="preserve"> kako će postići ciljeve u sektorima izvan ETS-a, što uključuje i ciljeve za obnovljive izvore energije. </w:t>
      </w:r>
    </w:p>
    <w:p w:rsidR="007D4A93" w:rsidRPr="00654E3B" w:rsidRDefault="00EF0BEB">
      <w:pPr>
        <w:rPr>
          <w:rFonts w:cs="Times New Roman"/>
        </w:rPr>
      </w:pPr>
      <w:r w:rsidRPr="00654E3B">
        <w:rPr>
          <w:rFonts w:cs="Times New Roman"/>
        </w:rPr>
        <w:t>Republika Hrvatska će do 2030. godine težiti ambicioznijem smanjenju emisije, s putanjom koja se nalazi u prostoru između niskougljičnog scenarija NU1 i NU2.</w:t>
      </w:r>
    </w:p>
    <w:p w:rsidR="007D4A93" w:rsidRPr="00654E3B" w:rsidRDefault="00EF0BEB">
      <w:pPr>
        <w:rPr>
          <w:rFonts w:cs="Times New Roman"/>
        </w:rPr>
      </w:pPr>
      <w:r w:rsidRPr="00654E3B">
        <w:rPr>
          <w:rFonts w:cs="Times New Roman"/>
        </w:rPr>
        <w:t>Postavljen je temeljni cilj:</w:t>
      </w:r>
    </w:p>
    <w:p w:rsidR="007D4A93" w:rsidRPr="00654E3B" w:rsidRDefault="00EF0BEB" w:rsidP="000C6795">
      <w:pPr>
        <w:pStyle w:val="ListParagraph"/>
        <w:numPr>
          <w:ilvl w:val="0"/>
          <w:numId w:val="11"/>
        </w:numPr>
        <w:rPr>
          <w:rFonts w:cs="Times New Roman"/>
          <w:b/>
        </w:rPr>
      </w:pPr>
      <w:r w:rsidRPr="00654E3B">
        <w:rPr>
          <w:rFonts w:cs="Times New Roman"/>
          <w:b/>
        </w:rPr>
        <w:t>ostvariti smanjenje emisije za 7</w:t>
      </w:r>
      <w:r w:rsidR="00060992" w:rsidRPr="00654E3B">
        <w:rPr>
          <w:rFonts w:cs="Times New Roman"/>
          <w:b/>
        </w:rPr>
        <w:t xml:space="preserve"> %</w:t>
      </w:r>
      <w:r w:rsidRPr="00654E3B">
        <w:rPr>
          <w:rFonts w:cs="Times New Roman"/>
          <w:b/>
        </w:rPr>
        <w:t xml:space="preserve"> u sektorima izvan ETS-a, u odnosu na emisiju u 2005. godini. Ovo je minimalno što se mora ostvariti, a to je ujedno obvezujući cilj prema Europskoj uniji i Pariškom sporazumu</w:t>
      </w:r>
      <w:r w:rsidR="00CB4E40" w:rsidRPr="00654E3B">
        <w:rPr>
          <w:rFonts w:cs="Times New Roman"/>
          <w:b/>
        </w:rPr>
        <w:t>, u okviru zajedničkog EU cilja do 2030. godine</w:t>
      </w:r>
      <w:r w:rsidRPr="00654E3B">
        <w:rPr>
          <w:rFonts w:cs="Times New Roman"/>
          <w:b/>
        </w:rPr>
        <w:t xml:space="preserve">. </w:t>
      </w:r>
    </w:p>
    <w:p w:rsidR="007D4A93" w:rsidRPr="00654E3B" w:rsidRDefault="00EF0BEB">
      <w:pPr>
        <w:rPr>
          <w:rFonts w:cs="Times New Roman"/>
        </w:rPr>
      </w:pPr>
      <w:r w:rsidRPr="00654E3B">
        <w:rPr>
          <w:rFonts w:cs="Times New Roman"/>
        </w:rPr>
        <w:t>Ciljevi za obnovljive izvore energije, energetsku učinkovitost te sektorski ciljevi</w:t>
      </w:r>
      <w:r w:rsidR="001C0429" w:rsidRPr="00654E3B">
        <w:rPr>
          <w:rFonts w:cs="Times New Roman"/>
        </w:rPr>
        <w:t>,</w:t>
      </w:r>
      <w:r w:rsidRPr="00654E3B">
        <w:rPr>
          <w:rFonts w:cs="Times New Roman"/>
        </w:rPr>
        <w:t xml:space="preserve"> proizlaze iz gore navedenih ciljeva. Provedbeni dokument za razdoblje do 2030. godine je NECP za razdoblje od 2021. do 2030. godine. </w:t>
      </w:r>
    </w:p>
    <w:p w:rsidR="007D4A93" w:rsidRPr="00654E3B" w:rsidRDefault="00EF0BEB" w:rsidP="009F6651">
      <w:pPr>
        <w:pStyle w:val="Heading3"/>
      </w:pPr>
      <w:bookmarkStart w:id="182" w:name="_Toc476226509"/>
      <w:bookmarkStart w:id="183" w:name="_Toc475716135"/>
      <w:bookmarkStart w:id="184" w:name="_Toc475714722"/>
      <w:bookmarkStart w:id="185" w:name="_Toc436823712"/>
      <w:bookmarkStart w:id="186" w:name="_Toc477868476"/>
      <w:bookmarkStart w:id="187" w:name="_Toc478995874"/>
      <w:bookmarkStart w:id="188" w:name="_Toc484158978"/>
      <w:bookmarkStart w:id="189" w:name="_Toc69810157"/>
      <w:r w:rsidRPr="00654E3B">
        <w:t>3.2.</w:t>
      </w:r>
      <w:r w:rsidR="00515372">
        <w:t>2</w:t>
      </w:r>
      <w:r w:rsidRPr="00654E3B">
        <w:t>.</w:t>
      </w:r>
      <w:r w:rsidRPr="00654E3B">
        <w:tab/>
        <w:t>Ciljevi Republike Hrvatske do 2050. godine</w:t>
      </w:r>
      <w:bookmarkEnd w:id="182"/>
      <w:bookmarkEnd w:id="183"/>
      <w:bookmarkEnd w:id="184"/>
      <w:bookmarkEnd w:id="185"/>
      <w:bookmarkEnd w:id="186"/>
      <w:bookmarkEnd w:id="187"/>
      <w:bookmarkEnd w:id="188"/>
      <w:bookmarkEnd w:id="189"/>
      <w:r w:rsidRPr="00654E3B">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Cilj smanjenja emisija stakleničkih plinova do 2050. godine je: </w:t>
      </w:r>
    </w:p>
    <w:p w:rsidR="007D4A93" w:rsidRPr="00654E3B" w:rsidRDefault="00EF0BEB" w:rsidP="000C6795">
      <w:pPr>
        <w:pStyle w:val="ListParagraph"/>
        <w:numPr>
          <w:ilvl w:val="0"/>
          <w:numId w:val="11"/>
        </w:numPr>
        <w:rPr>
          <w:rFonts w:cs="Times New Roman"/>
          <w:b/>
        </w:rPr>
      </w:pPr>
      <w:r w:rsidRPr="00654E3B">
        <w:rPr>
          <w:rFonts w:cs="Times New Roman"/>
          <w:b/>
        </w:rPr>
        <w:t>smanjenje emisija stakleničkih plinova s putanjom koja se nalazi u prostoru između niskougljičnog scenarija NU1 i NU2, s težnjom prema ambicioznijem scenariju NU2.</w:t>
      </w:r>
    </w:p>
    <w:p w:rsidR="007D4A93" w:rsidRPr="00654E3B" w:rsidRDefault="00EF0BEB">
      <w:pPr>
        <w:rPr>
          <w:rFonts w:cs="Times New Roman"/>
        </w:rPr>
      </w:pPr>
      <w:r w:rsidRPr="00654E3B">
        <w:rPr>
          <w:rFonts w:cs="Times New Roman"/>
        </w:rPr>
        <w:t>U razdoblju do 2030. godine, razlike između scenarija NU1 i NU2 su relativno male, međutim u 2050. godini ovi su scenariji po dubini primjena mjera i ukupnom smanjenju emisije vrlo različiti. Republika Hrvatska treba odrediti ponov</w:t>
      </w:r>
      <w:r w:rsidR="001C0429" w:rsidRPr="00654E3B">
        <w:rPr>
          <w:rFonts w:cs="Times New Roman"/>
        </w:rPr>
        <w:t>n</w:t>
      </w:r>
      <w:r w:rsidRPr="00654E3B">
        <w:rPr>
          <w:rFonts w:cs="Times New Roman"/>
        </w:rPr>
        <w:t>o svoju niskougljičnu putanju pri kraju sljedećeg desetogodišnjeg razdoblja. Za države čiji je doprinos u okviru Pariškog sporazuma  utvrđen do 2030. godine</w:t>
      </w:r>
      <w:r w:rsidR="001C0429" w:rsidRPr="00654E3B">
        <w:rPr>
          <w:rFonts w:cs="Times New Roman"/>
        </w:rPr>
        <w:t>,</w:t>
      </w:r>
      <w:r w:rsidRPr="00654E3B">
        <w:rPr>
          <w:rFonts w:cs="Times New Roman"/>
        </w:rPr>
        <w:t xml:space="preserve"> obveza komunikacije ili ažuriranja tog doprinosa je svakih pet godina</w:t>
      </w:r>
      <w:r w:rsidR="001C0429" w:rsidRPr="00654E3B">
        <w:rPr>
          <w:rFonts w:cs="Times New Roman"/>
        </w:rPr>
        <w:t>,</w:t>
      </w:r>
      <w:r w:rsidRPr="00654E3B">
        <w:rPr>
          <w:rFonts w:cs="Times New Roman"/>
        </w:rPr>
        <w:t xml:space="preserve"> pa bi 2025. godine trebalo predvidjeti provedbu revizije ciljeva. </w:t>
      </w:r>
    </w:p>
    <w:p w:rsidR="007D4A93" w:rsidRPr="00654E3B" w:rsidRDefault="00EF0BEB">
      <w:pPr>
        <w:rPr>
          <w:rFonts w:cs="Times New Roman"/>
        </w:rPr>
      </w:pPr>
      <w:r w:rsidRPr="00654E3B">
        <w:rPr>
          <w:rFonts w:cs="Times New Roman"/>
        </w:rPr>
        <w:t xml:space="preserve">Obzirom na ambiciozni impuls koji donosi novi Europski zeleni plan iz 2019. godine i u kontekstu </w:t>
      </w:r>
      <w:r w:rsidR="001A74D3" w:rsidRPr="00654E3B">
        <w:rPr>
          <w:rFonts w:cs="Times New Roman"/>
        </w:rPr>
        <w:t xml:space="preserve">povećanja zajedničkog cilja smanjenja </w:t>
      </w:r>
      <w:r w:rsidRPr="00654E3B">
        <w:rPr>
          <w:rFonts w:cs="Times New Roman"/>
        </w:rPr>
        <w:t>emisij</w:t>
      </w:r>
      <w:r w:rsidR="001A74D3" w:rsidRPr="00654E3B">
        <w:rPr>
          <w:rFonts w:cs="Times New Roman"/>
        </w:rPr>
        <w:t>a</w:t>
      </w:r>
      <w:r w:rsidRPr="00654E3B">
        <w:rPr>
          <w:rFonts w:cs="Times New Roman"/>
        </w:rPr>
        <w:t xml:space="preserve"> stakleničkih plinova</w:t>
      </w:r>
      <w:r w:rsidR="001A74D3" w:rsidRPr="00654E3B">
        <w:rPr>
          <w:rFonts w:cs="Times New Roman"/>
        </w:rPr>
        <w:t xml:space="preserve"> EU</w:t>
      </w:r>
      <w:r w:rsidRPr="00654E3B">
        <w:rPr>
          <w:rFonts w:cs="Times New Roman"/>
        </w:rPr>
        <w:t xml:space="preserve"> </w:t>
      </w:r>
      <w:r w:rsidR="001A74D3" w:rsidRPr="00654E3B">
        <w:rPr>
          <w:rFonts w:cs="Times New Roman"/>
        </w:rPr>
        <w:t xml:space="preserve">na </w:t>
      </w:r>
      <w:r w:rsidRPr="00654E3B">
        <w:rPr>
          <w:rFonts w:cs="Times New Roman"/>
        </w:rPr>
        <w:t>-55</w:t>
      </w:r>
      <w:r w:rsidR="00060992" w:rsidRPr="00654E3B">
        <w:rPr>
          <w:rFonts w:cs="Times New Roman"/>
        </w:rPr>
        <w:t xml:space="preserve"> %</w:t>
      </w:r>
      <w:r w:rsidRPr="00654E3B">
        <w:rPr>
          <w:rFonts w:cs="Times New Roman"/>
        </w:rPr>
        <w:t xml:space="preserve"> do 2030. godine</w:t>
      </w:r>
      <w:r w:rsidR="001A74D3" w:rsidRPr="00654E3B">
        <w:rPr>
          <w:rFonts w:cs="Times New Roman"/>
        </w:rPr>
        <w:t>, usvojenog</w:t>
      </w:r>
      <w:r w:rsidRPr="00654E3B">
        <w:rPr>
          <w:rFonts w:cs="Times New Roman"/>
        </w:rPr>
        <w:t xml:space="preserve"> </w:t>
      </w:r>
      <w:r w:rsidR="003E4E8F" w:rsidRPr="00654E3B">
        <w:rPr>
          <w:rFonts w:cs="Times New Roman"/>
        </w:rPr>
        <w:t xml:space="preserve">na </w:t>
      </w:r>
      <w:r w:rsidRPr="00654E3B">
        <w:rPr>
          <w:rFonts w:cs="Times New Roman"/>
        </w:rPr>
        <w:t>Europsko</w:t>
      </w:r>
      <w:r w:rsidR="003E4E8F" w:rsidRPr="00654E3B">
        <w:rPr>
          <w:rFonts w:cs="Times New Roman"/>
        </w:rPr>
        <w:t>m vijeću</w:t>
      </w:r>
      <w:r w:rsidRPr="00654E3B">
        <w:rPr>
          <w:rFonts w:cs="Times New Roman"/>
        </w:rPr>
        <w:t xml:space="preserve">, </w:t>
      </w:r>
      <w:r w:rsidR="003E4E8F" w:rsidRPr="00654E3B">
        <w:rPr>
          <w:rFonts w:cs="Times New Roman"/>
        </w:rPr>
        <w:t>11. prosinca</w:t>
      </w:r>
      <w:r w:rsidRPr="00654E3B">
        <w:rPr>
          <w:rFonts w:cs="Times New Roman"/>
        </w:rPr>
        <w:t xml:space="preserve"> 2020., slijedeća revizija Niskougljične strategije </w:t>
      </w:r>
      <w:r w:rsidR="003E4E8F" w:rsidRPr="00654E3B">
        <w:rPr>
          <w:rFonts w:cs="Times New Roman"/>
        </w:rPr>
        <w:t>utvrđivat će</w:t>
      </w:r>
      <w:r w:rsidR="001A74D3" w:rsidRPr="00654E3B">
        <w:rPr>
          <w:rFonts w:cs="Times New Roman"/>
        </w:rPr>
        <w:t xml:space="preserve"> način</w:t>
      </w:r>
      <w:r w:rsidR="003E4E8F" w:rsidRPr="00654E3B">
        <w:rPr>
          <w:rFonts w:cs="Times New Roman"/>
        </w:rPr>
        <w:t xml:space="preserve"> postignuća neto nulte </w:t>
      </w:r>
      <w:r w:rsidRPr="00654E3B">
        <w:rPr>
          <w:rFonts w:cs="Times New Roman"/>
        </w:rPr>
        <w:t xml:space="preserve">emisije stakleničkih plinova do 2050. godine, a s tim u vezi i </w:t>
      </w:r>
      <w:r w:rsidR="003E4E8F" w:rsidRPr="00654E3B">
        <w:rPr>
          <w:rFonts w:cs="Times New Roman"/>
        </w:rPr>
        <w:t>povećanje ambicije</w:t>
      </w:r>
      <w:r w:rsidRPr="00654E3B">
        <w:rPr>
          <w:rFonts w:cs="Times New Roman"/>
        </w:rPr>
        <w:t xml:space="preserve"> do 2030. godine. </w:t>
      </w:r>
      <w:r w:rsidR="001A74D3" w:rsidRPr="00654E3B">
        <w:rPr>
          <w:rFonts w:cs="Times New Roman"/>
        </w:rPr>
        <w:t>Navedeno će uslijediti nakon izmjene i usvajanja klimatskog i energetskog EU zakonodavstva kada će biti poznati sektorski i ukupni ciljevi za pojedine države članice.</w:t>
      </w:r>
    </w:p>
    <w:p w:rsidR="007D4A93" w:rsidRPr="00654E3B" w:rsidRDefault="007D4A93">
      <w:pPr>
        <w:rPr>
          <w:rFonts w:cs="Times New Roman"/>
        </w:rPr>
      </w:pPr>
    </w:p>
    <w:p w:rsidR="007D4A93" w:rsidRPr="00654E3B" w:rsidRDefault="00EF0BEB">
      <w:pPr>
        <w:pStyle w:val="Heading2"/>
        <w:rPr>
          <w:rFonts w:ascii="Times New Roman" w:hAnsi="Times New Roman" w:cs="Times New Roman"/>
        </w:rPr>
      </w:pPr>
      <w:bookmarkStart w:id="190" w:name="_Toc69810158"/>
      <w:r w:rsidRPr="00654E3B">
        <w:rPr>
          <w:rFonts w:ascii="Times New Roman" w:hAnsi="Times New Roman" w:cs="Times New Roman"/>
        </w:rPr>
        <w:t>3.3.</w:t>
      </w:r>
      <w:r w:rsidRPr="00654E3B">
        <w:rPr>
          <w:rFonts w:ascii="Times New Roman" w:hAnsi="Times New Roman" w:cs="Times New Roman"/>
        </w:rPr>
        <w:tab/>
        <w:t>TREND RAZVOJA</w:t>
      </w:r>
      <w:bookmarkEnd w:id="190"/>
    </w:p>
    <w:p w:rsidR="007D4A93" w:rsidRPr="00654E3B" w:rsidRDefault="00EF0BEB" w:rsidP="009F6651">
      <w:pPr>
        <w:pStyle w:val="Heading3"/>
      </w:pPr>
      <w:bookmarkStart w:id="191" w:name="_Toc69810159"/>
      <w:r w:rsidRPr="00654E3B">
        <w:t>3.3.1.</w:t>
      </w:r>
      <w:r w:rsidRPr="00654E3B">
        <w:tab/>
        <w:t>Makroekonomski parametri</w:t>
      </w:r>
      <w:bookmarkEnd w:id="191"/>
    </w:p>
    <w:p w:rsidR="007D4A93" w:rsidRPr="00654E3B" w:rsidRDefault="007D4A93">
      <w:pPr>
        <w:rPr>
          <w:rFonts w:cs="Times New Roman"/>
        </w:rPr>
      </w:pPr>
    </w:p>
    <w:p w:rsidR="007D4A93" w:rsidRPr="00654E3B" w:rsidRDefault="00EF0BEB">
      <w:pPr>
        <w:rPr>
          <w:rFonts w:cs="Times New Roman"/>
          <w:u w:val="single"/>
        </w:rPr>
      </w:pPr>
      <w:bookmarkStart w:id="192" w:name="_Toc475714725"/>
      <w:bookmarkStart w:id="193" w:name="_Toc475716138"/>
      <w:bookmarkStart w:id="194" w:name="_Toc476226512"/>
      <w:bookmarkStart w:id="195" w:name="_Toc477868479"/>
      <w:bookmarkStart w:id="196" w:name="_Toc478995877"/>
      <w:bookmarkStart w:id="197" w:name="_Toc484158981"/>
      <w:r w:rsidRPr="00654E3B">
        <w:rPr>
          <w:rFonts w:cs="Times New Roman"/>
          <w:u w:val="single"/>
        </w:rPr>
        <w:t>Broj stanovnika i stopa rasta bruto domaćeg proizvoda</w:t>
      </w:r>
      <w:bookmarkEnd w:id="192"/>
      <w:bookmarkEnd w:id="193"/>
      <w:bookmarkEnd w:id="194"/>
      <w:bookmarkEnd w:id="195"/>
      <w:bookmarkEnd w:id="196"/>
      <w:bookmarkEnd w:id="197"/>
    </w:p>
    <w:p w:rsidR="007D4A93" w:rsidRPr="00654E3B" w:rsidRDefault="00EF0BEB">
      <w:pPr>
        <w:rPr>
          <w:rFonts w:cs="Times New Roman"/>
        </w:rPr>
      </w:pPr>
      <w:r w:rsidRPr="00654E3B">
        <w:rPr>
          <w:rFonts w:cs="Times New Roman"/>
        </w:rPr>
        <w:lastRenderedPageBreak/>
        <w:t>Broj i sastav stanovništva prema različitim demografskim i socio-gospodarskim obilježjima</w:t>
      </w:r>
      <w:r w:rsidR="007D716D" w:rsidRPr="00654E3B">
        <w:rPr>
          <w:rFonts w:cs="Times New Roman"/>
        </w:rPr>
        <w:t>,</w:t>
      </w:r>
      <w:r w:rsidRPr="00654E3B">
        <w:rPr>
          <w:rFonts w:cs="Times New Roman"/>
        </w:rPr>
        <w:t xml:space="preserve"> čini temeljnu odrednicu sadašnjeg i predvidivog društvenog i gospodarskog rasta i razvoja. Stanovništvo je temeljni čimbenik koji svojom aktivnošću mijenja društvene, gospodarske, socijalne, kulturne, psihološke i druge uvjete razvoja. Osobito je važno imati u vidu činjenicu da su demografski procesi po svojoj naravi dugoročni, koliko u nastajanju, toliko i po budućim učincima. U svrhu izrade projekcije potrošnje energije za potrebe izrade Energetske strategije</w:t>
      </w:r>
      <w:r w:rsidR="007D716D" w:rsidRPr="00654E3B">
        <w:rPr>
          <w:rFonts w:cs="Times New Roman"/>
        </w:rPr>
        <w:t>,</w:t>
      </w:r>
      <w:r w:rsidRPr="00654E3B">
        <w:rPr>
          <w:rFonts w:cs="Times New Roman"/>
        </w:rPr>
        <w:t xml:space="preserve"> kreirane su projekcije demografskih kretanja za Republiku Hrvatsku. Te su projekcije korištene i pri analizama u ne-energetskim sektorima.</w:t>
      </w:r>
    </w:p>
    <w:p w:rsidR="007D4A93" w:rsidRPr="00654E3B" w:rsidRDefault="00EF0BEB">
      <w:pPr>
        <w:rPr>
          <w:rFonts w:cs="Times New Roman"/>
          <w:szCs w:val="24"/>
        </w:rPr>
      </w:pPr>
      <w:r w:rsidRPr="00654E3B">
        <w:rPr>
          <w:rFonts w:cs="Times New Roman"/>
          <w:szCs w:val="24"/>
        </w:rPr>
        <w:t>Pretpostavke pri izradi projekcija demografskih kretanja uključuju:</w:t>
      </w:r>
    </w:p>
    <w:p w:rsidR="007D4A93" w:rsidRPr="00654E3B" w:rsidRDefault="00EF0BEB" w:rsidP="000C6795">
      <w:pPr>
        <w:pStyle w:val="ListParagraph"/>
        <w:numPr>
          <w:ilvl w:val="0"/>
          <w:numId w:val="14"/>
        </w:numPr>
        <w:rPr>
          <w:rFonts w:cs="Times New Roman"/>
          <w:szCs w:val="24"/>
        </w:rPr>
      </w:pPr>
      <w:r w:rsidRPr="00654E3B">
        <w:rPr>
          <w:rFonts w:cs="Times New Roman"/>
          <w:szCs w:val="24"/>
        </w:rPr>
        <w:t>Porast buduće totalne stope fertiliteta u skladu s najnovijom projekcijom Populacijskog odjela UN-a</w:t>
      </w:r>
      <w:r w:rsidR="007D716D" w:rsidRPr="00654E3B">
        <w:rPr>
          <w:rFonts w:cs="Times New Roman"/>
          <w:szCs w:val="24"/>
        </w:rPr>
        <w:t>,</w:t>
      </w:r>
    </w:p>
    <w:p w:rsidR="007D4A93" w:rsidRPr="00654E3B" w:rsidRDefault="00EF0BEB" w:rsidP="000C6795">
      <w:pPr>
        <w:pStyle w:val="ListParagraph"/>
        <w:numPr>
          <w:ilvl w:val="0"/>
          <w:numId w:val="14"/>
        </w:numPr>
        <w:rPr>
          <w:rFonts w:cs="Times New Roman"/>
          <w:szCs w:val="24"/>
        </w:rPr>
      </w:pPr>
      <w:r w:rsidRPr="00654E3B">
        <w:rPr>
          <w:rFonts w:cs="Times New Roman"/>
          <w:szCs w:val="24"/>
        </w:rPr>
        <w:t>Rast očekivanog trajanja života za oba spola</w:t>
      </w:r>
      <w:r w:rsidR="007D716D" w:rsidRPr="00654E3B">
        <w:rPr>
          <w:rFonts w:cs="Times New Roman"/>
          <w:szCs w:val="24"/>
        </w:rPr>
        <w:t>,</w:t>
      </w:r>
    </w:p>
    <w:p w:rsidR="007D4A93" w:rsidRPr="00654E3B" w:rsidRDefault="00EF0BEB" w:rsidP="000C6795">
      <w:pPr>
        <w:pStyle w:val="ListParagraph"/>
        <w:numPr>
          <w:ilvl w:val="0"/>
          <w:numId w:val="14"/>
        </w:numPr>
        <w:rPr>
          <w:rFonts w:cs="Times New Roman"/>
          <w:szCs w:val="24"/>
        </w:rPr>
      </w:pPr>
      <w:r w:rsidRPr="00654E3B">
        <w:rPr>
          <w:rFonts w:cs="Times New Roman"/>
          <w:szCs w:val="24"/>
        </w:rPr>
        <w:t>Usporavanje iseljavanja u inozemstvo. Nulte neto migracije od 2025.</w:t>
      </w:r>
      <w:r w:rsidR="007D716D" w:rsidRPr="00654E3B">
        <w:rPr>
          <w:rFonts w:cs="Times New Roman"/>
          <w:szCs w:val="24"/>
        </w:rPr>
        <w:t xml:space="preserve"> </w:t>
      </w:r>
      <w:r w:rsidRPr="00654E3B">
        <w:rPr>
          <w:rFonts w:cs="Times New Roman"/>
          <w:szCs w:val="24"/>
        </w:rPr>
        <w:t>godine za županije s visokom stopom emigracije, a od 2020. godine za županije s niskom stopom emigracije.</w:t>
      </w:r>
    </w:p>
    <w:p w:rsidR="007D4A93" w:rsidRPr="00654E3B" w:rsidRDefault="006D11DD">
      <w:pPr>
        <w:rPr>
          <w:rFonts w:cs="Times New Roman"/>
        </w:rPr>
      </w:pPr>
      <w:r w:rsidRPr="00654E3B">
        <w:rPr>
          <w:rFonts w:cs="Times New Roman"/>
        </w:rPr>
        <w:t>Stvarni podaci o b</w:t>
      </w:r>
      <w:r w:rsidR="00B75C99" w:rsidRPr="00654E3B">
        <w:rPr>
          <w:rFonts w:cs="Times New Roman"/>
        </w:rPr>
        <w:t>roj</w:t>
      </w:r>
      <w:r w:rsidRPr="00654E3B">
        <w:rPr>
          <w:rFonts w:cs="Times New Roman"/>
        </w:rPr>
        <w:t>u</w:t>
      </w:r>
      <w:r w:rsidR="00B75C99" w:rsidRPr="00654E3B">
        <w:rPr>
          <w:rFonts w:cs="Times New Roman"/>
        </w:rPr>
        <w:t xml:space="preserve"> stanovnika Republike Hrvatske, trenutno se </w:t>
      </w:r>
      <w:r w:rsidRPr="00654E3B">
        <w:rPr>
          <w:rFonts w:cs="Times New Roman"/>
        </w:rPr>
        <w:t xml:space="preserve">ostvaruju </w:t>
      </w:r>
      <w:r w:rsidR="00B75C99" w:rsidRPr="00654E3B">
        <w:rPr>
          <w:rFonts w:cs="Times New Roman"/>
        </w:rPr>
        <w:t>samo popisom stanovništva. Kad se uspostavi registar stanovništva Republike Hrvatske</w:t>
      </w:r>
      <w:r w:rsidR="007D716D" w:rsidRPr="00654E3B">
        <w:rPr>
          <w:rFonts w:cs="Times New Roman"/>
        </w:rPr>
        <w:t>,</w:t>
      </w:r>
      <w:r w:rsidR="00B75C99" w:rsidRPr="00654E3B">
        <w:rPr>
          <w:rFonts w:cs="Times New Roman"/>
        </w:rPr>
        <w:t xml:space="preserve"> bit će dostupni stvar</w:t>
      </w:r>
      <w:r w:rsidR="003229E7" w:rsidRPr="00654E3B">
        <w:rPr>
          <w:rFonts w:cs="Times New Roman"/>
        </w:rPr>
        <w:t>n</w:t>
      </w:r>
      <w:r w:rsidR="00B75C99" w:rsidRPr="00654E3B">
        <w:rPr>
          <w:rFonts w:cs="Times New Roman"/>
        </w:rPr>
        <w:t>i podaci o broju stanovništv</w:t>
      </w:r>
      <w:r w:rsidR="003229E7" w:rsidRPr="00654E3B">
        <w:rPr>
          <w:rFonts w:cs="Times New Roman"/>
        </w:rPr>
        <w:t>a te će se moći pratiti trendovi</w:t>
      </w:r>
      <w:r w:rsidR="00B75C99" w:rsidRPr="00654E3B">
        <w:rPr>
          <w:rFonts w:cs="Times New Roman"/>
        </w:rPr>
        <w:t xml:space="preserve"> i formirati valjane projekcije za budućnost. Demografske projekcije u obzir </w:t>
      </w:r>
      <w:r w:rsidR="003229E7" w:rsidRPr="00654E3B">
        <w:rPr>
          <w:rFonts w:cs="Times New Roman"/>
        </w:rPr>
        <w:t>uzimaju</w:t>
      </w:r>
      <w:r w:rsidR="00B75C99" w:rsidRPr="00654E3B">
        <w:rPr>
          <w:rFonts w:cs="Times New Roman"/>
        </w:rPr>
        <w:t xml:space="preserve"> ne samo prirodno već i mehaničko kretanje stanovništva.</w:t>
      </w:r>
      <w:r w:rsidR="003229E7" w:rsidRPr="00654E3B">
        <w:rPr>
          <w:rFonts w:cs="Times New Roman"/>
        </w:rPr>
        <w:t xml:space="preserve"> </w:t>
      </w:r>
      <w:r w:rsidR="00EF0BEB" w:rsidRPr="00654E3B">
        <w:rPr>
          <w:rFonts w:cs="Times New Roman"/>
        </w:rPr>
        <w:t>Rezultati projekcija stanovništva pokazuju značajan pad ukupnog broja stanovnika. Također, uz pad ukupnog broja stanovnika mijenja se i dobna struktura stanovništva prema sve manjem udjelu mladog (0-14 godina) stanovništva, stagnaciji ili blagom padu stanovništva u radnoj dobi (15-64) i konstantnom udjelu ili porastu stanovništva</w:t>
      </w:r>
      <w:r w:rsidR="00C62974" w:rsidRPr="00654E3B">
        <w:rPr>
          <w:rFonts w:cs="Times New Roman"/>
        </w:rPr>
        <w:t xml:space="preserve"> starije dobi</w:t>
      </w:r>
      <w:r w:rsidR="00EF0BEB" w:rsidRPr="00654E3B">
        <w:rPr>
          <w:rFonts w:cs="Times New Roman"/>
        </w:rPr>
        <w:t xml:space="preserve"> (65+). </w:t>
      </w:r>
    </w:p>
    <w:p w:rsidR="007D4A93" w:rsidRPr="00654E3B" w:rsidRDefault="00EF0BEB">
      <w:pPr>
        <w:rPr>
          <w:rFonts w:cs="Times New Roman"/>
        </w:rPr>
      </w:pPr>
      <w:r w:rsidRPr="00654E3B">
        <w:rPr>
          <w:rFonts w:cs="Times New Roman"/>
        </w:rPr>
        <w:t>Projekcije gospodarskih kretanja u razdoblju do 2050. godine uključuju projekcije bruto domaćeg proizvoda (</w:t>
      </w:r>
      <w:r w:rsidR="00060992" w:rsidRPr="00654E3B">
        <w:rPr>
          <w:rFonts w:cs="Times New Roman"/>
        </w:rPr>
        <w:t>u daljnjem tekstuu daljnjem tekstu</w:t>
      </w:r>
      <w:r w:rsidRPr="00654E3B">
        <w:rPr>
          <w:rFonts w:cs="Times New Roman"/>
        </w:rPr>
        <w:t>: BDP) i bruto dodane vrijednosti (</w:t>
      </w:r>
      <w:r w:rsidR="00060992" w:rsidRPr="00654E3B">
        <w:rPr>
          <w:rFonts w:cs="Times New Roman"/>
        </w:rPr>
        <w:t>u daljnjem tekstuu daljnjem tekstu</w:t>
      </w:r>
      <w:r w:rsidRPr="00654E3B">
        <w:rPr>
          <w:rFonts w:cs="Times New Roman"/>
        </w:rPr>
        <w:t>: BDV)</w:t>
      </w:r>
      <w:r w:rsidR="007D716D" w:rsidRPr="00654E3B">
        <w:rPr>
          <w:rFonts w:cs="Times New Roman"/>
        </w:rPr>
        <w:t xml:space="preserve">, </w:t>
      </w:r>
      <w:r w:rsidRPr="00654E3B">
        <w:rPr>
          <w:rFonts w:cs="Times New Roman"/>
        </w:rPr>
        <w:t>Republike Hrvatske po sektorima djelatnosti: industrija, poljoprivreda, promet, kućanstva, usluge (hoteli i restorani) i ostale usluge. Polazna godina za projekcije je 2016</w:t>
      </w:r>
      <w:r w:rsidR="007D716D" w:rsidRPr="00654E3B">
        <w:rPr>
          <w:rFonts w:cs="Times New Roman"/>
        </w:rPr>
        <w:t>-a</w:t>
      </w:r>
      <w:r w:rsidRPr="00654E3B">
        <w:rPr>
          <w:rFonts w:cs="Times New Roman"/>
        </w:rPr>
        <w:t>. Prognostičke vrijednosti za BDP prikazane su u stalnim cijenama iz 2010. godine (tablica 3-5). Kompletan opis nalazi se u Prilogu IV ove Strategije</w:t>
      </w:r>
      <w:r w:rsidR="007D716D" w:rsidRPr="00654E3B">
        <w:rPr>
          <w:rFonts w:cs="Times New Roman"/>
        </w:rPr>
        <w:t>.</w:t>
      </w:r>
    </w:p>
    <w:p w:rsidR="007D4A93" w:rsidRPr="00654E3B" w:rsidRDefault="00EF0BEB">
      <w:pPr>
        <w:pStyle w:val="Tablicanaslov"/>
        <w:spacing w:after="120"/>
        <w:rPr>
          <w:rFonts w:cs="Times New Roman"/>
          <w:i/>
          <w:sz w:val="22"/>
          <w:szCs w:val="22"/>
        </w:rPr>
      </w:pPr>
      <w:bookmarkStart w:id="198" w:name="_Toc33417114"/>
      <w:r w:rsidRPr="00654E3B">
        <w:rPr>
          <w:rFonts w:cs="Times New Roman"/>
          <w:i/>
          <w:sz w:val="22"/>
          <w:szCs w:val="22"/>
        </w:rPr>
        <w:t>Tablica 3-5: Projekcija ekonomskih parametara</w:t>
      </w:r>
      <w:bookmarkEnd w:id="198"/>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4252"/>
        <w:gridCol w:w="964"/>
        <w:gridCol w:w="964"/>
        <w:gridCol w:w="964"/>
        <w:gridCol w:w="964"/>
        <w:gridCol w:w="964"/>
      </w:tblGrid>
      <w:tr w:rsidR="007D4A93" w:rsidRPr="00654E3B">
        <w:trPr>
          <w:trHeight w:val="397"/>
        </w:trPr>
        <w:tc>
          <w:tcPr>
            <w:tcW w:w="4252"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Ekonomski</w:t>
            </w:r>
            <w:r w:rsidRPr="00654E3B">
              <w:rPr>
                <w:rFonts w:cs="Times New Roman"/>
                <w:b/>
                <w:spacing w:val="46"/>
              </w:rPr>
              <w:t xml:space="preserve"> </w:t>
            </w:r>
            <w:r w:rsidRPr="00654E3B">
              <w:rPr>
                <w:rFonts w:cs="Times New Roman"/>
                <w:b/>
              </w:rPr>
              <w:t>parametri</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2016.</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2020.</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2030.</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2040.</w:t>
            </w:r>
          </w:p>
        </w:tc>
        <w:tc>
          <w:tcPr>
            <w:tcW w:w="964" w:type="dxa"/>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2050.</w:t>
            </w:r>
          </w:p>
        </w:tc>
      </w:tr>
      <w:tr w:rsidR="007D4A93" w:rsidRPr="00654E3B">
        <w:trPr>
          <w:trHeight w:val="397"/>
        </w:trPr>
        <w:tc>
          <w:tcPr>
            <w:tcW w:w="4252" w:type="dxa"/>
            <w:shd w:val="clear" w:color="auto" w:fill="F2F2F2" w:themeFill="background1" w:themeFillShade="F2"/>
            <w:vAlign w:val="center"/>
          </w:tcPr>
          <w:p w:rsidR="007D4A93" w:rsidRPr="00654E3B" w:rsidRDefault="007D4A93">
            <w:pPr>
              <w:keepNext/>
              <w:spacing w:line="240" w:lineRule="auto"/>
              <w:jc w:val="center"/>
              <w:rPr>
                <w:rFonts w:cs="Times New Roman"/>
              </w:rPr>
            </w:pPr>
          </w:p>
        </w:tc>
        <w:tc>
          <w:tcPr>
            <w:tcW w:w="4820" w:type="dxa"/>
            <w:gridSpan w:val="5"/>
            <w:shd w:val="clear" w:color="auto" w:fill="F2F2F2" w:themeFill="background1" w:themeFillShade="F2"/>
            <w:vAlign w:val="center"/>
          </w:tcPr>
          <w:p w:rsidR="007D4A93" w:rsidRPr="00654E3B" w:rsidRDefault="00EF0BEB">
            <w:pPr>
              <w:keepNext/>
              <w:spacing w:line="240" w:lineRule="auto"/>
              <w:jc w:val="center"/>
              <w:rPr>
                <w:rFonts w:cs="Times New Roman"/>
                <w:b/>
              </w:rPr>
            </w:pPr>
            <w:r w:rsidRPr="00654E3B">
              <w:rPr>
                <w:rFonts w:cs="Times New Roman"/>
                <w:b/>
              </w:rPr>
              <w:t>Bazna produktivnost</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keepNext/>
              <w:spacing w:line="240" w:lineRule="auto"/>
              <w:jc w:val="left"/>
              <w:rPr>
                <w:rFonts w:cs="Times New Roman"/>
                <w:b/>
              </w:rPr>
            </w:pPr>
            <w:r w:rsidRPr="00654E3B">
              <w:rPr>
                <w:rFonts w:cs="Times New Roman"/>
              </w:rPr>
              <w:t>BDP, stalne cijene 2010., milijarde HRK</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335,902</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373,595</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408,987</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454,649</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520,277</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keepNext/>
              <w:spacing w:line="240" w:lineRule="auto"/>
              <w:jc w:val="left"/>
              <w:rPr>
                <w:rFonts w:cs="Times New Roman"/>
                <w:b/>
              </w:rPr>
            </w:pPr>
            <w:r w:rsidRPr="00654E3B">
              <w:rPr>
                <w:rFonts w:cs="Times New Roman"/>
              </w:rPr>
              <w:t>BDP, indeks 2016. = 100</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100,0</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111,2</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121,8</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135,4</w:t>
            </w:r>
          </w:p>
        </w:tc>
        <w:tc>
          <w:tcPr>
            <w:tcW w:w="964" w:type="dxa"/>
            <w:vAlign w:val="center"/>
          </w:tcPr>
          <w:p w:rsidR="007D4A93" w:rsidRPr="00654E3B" w:rsidRDefault="00EF0BEB">
            <w:pPr>
              <w:keepNext/>
              <w:spacing w:line="240" w:lineRule="auto"/>
              <w:jc w:val="center"/>
              <w:rPr>
                <w:rFonts w:cs="Times New Roman"/>
              </w:rPr>
            </w:pPr>
            <w:r w:rsidRPr="00654E3B">
              <w:rPr>
                <w:rFonts w:cs="Times New Roman"/>
              </w:rPr>
              <w:t>154,9</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BDP po stanovniku, stalne cijene 2010., tisuća HRK</w:t>
            </w:r>
          </w:p>
        </w:tc>
        <w:tc>
          <w:tcPr>
            <w:tcW w:w="964" w:type="dxa"/>
            <w:vAlign w:val="center"/>
          </w:tcPr>
          <w:p w:rsidR="007D4A93" w:rsidRPr="00654E3B" w:rsidRDefault="00EF0BEB">
            <w:pPr>
              <w:spacing w:line="240" w:lineRule="auto"/>
              <w:jc w:val="center"/>
              <w:rPr>
                <w:rFonts w:cs="Times New Roman"/>
              </w:rPr>
            </w:pPr>
            <w:r w:rsidRPr="00654E3B">
              <w:rPr>
                <w:rFonts w:cs="Times New Roman"/>
              </w:rPr>
              <w:t>82</w:t>
            </w:r>
          </w:p>
        </w:tc>
        <w:tc>
          <w:tcPr>
            <w:tcW w:w="964" w:type="dxa"/>
            <w:vAlign w:val="center"/>
          </w:tcPr>
          <w:p w:rsidR="007D4A93" w:rsidRPr="00654E3B" w:rsidRDefault="00EF0BEB">
            <w:pPr>
              <w:spacing w:line="240" w:lineRule="auto"/>
              <w:jc w:val="center"/>
              <w:rPr>
                <w:rFonts w:cs="Times New Roman"/>
              </w:rPr>
            </w:pPr>
            <w:r w:rsidRPr="00654E3B">
              <w:rPr>
                <w:rFonts w:cs="Times New Roman"/>
              </w:rPr>
              <w:t>94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109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129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158</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BDP po stanovniku, indeks 2016. = 100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100,0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114,4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132,9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157,1</w:t>
            </w:r>
          </w:p>
        </w:tc>
        <w:tc>
          <w:tcPr>
            <w:tcW w:w="964" w:type="dxa"/>
            <w:vAlign w:val="center"/>
          </w:tcPr>
          <w:p w:rsidR="007D4A93" w:rsidRPr="00654E3B" w:rsidRDefault="00EF0BEB">
            <w:pPr>
              <w:spacing w:line="240" w:lineRule="auto"/>
              <w:jc w:val="center"/>
              <w:rPr>
                <w:rFonts w:cs="Times New Roman"/>
              </w:rPr>
            </w:pPr>
            <w:r w:rsidRPr="00654E3B">
              <w:rPr>
                <w:rFonts w:cs="Times New Roman"/>
              </w:rPr>
              <w:t>192,7</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Broj stanovnika, u milijunima</w:t>
            </w:r>
          </w:p>
        </w:tc>
        <w:tc>
          <w:tcPr>
            <w:tcW w:w="964" w:type="dxa"/>
            <w:vAlign w:val="center"/>
          </w:tcPr>
          <w:p w:rsidR="007D4A93" w:rsidRPr="00654E3B" w:rsidRDefault="00EF0BEB">
            <w:pPr>
              <w:spacing w:line="240" w:lineRule="auto"/>
              <w:jc w:val="center"/>
              <w:rPr>
                <w:rFonts w:cs="Times New Roman"/>
              </w:rPr>
            </w:pPr>
            <w:r w:rsidRPr="00654E3B">
              <w:rPr>
                <w:rFonts w:cs="Times New Roman"/>
              </w:rPr>
              <w:t>4,099</w:t>
            </w:r>
          </w:p>
        </w:tc>
        <w:tc>
          <w:tcPr>
            <w:tcW w:w="964" w:type="dxa"/>
            <w:vAlign w:val="center"/>
          </w:tcPr>
          <w:p w:rsidR="007D4A93" w:rsidRPr="00654E3B" w:rsidRDefault="00EF0BEB">
            <w:pPr>
              <w:spacing w:line="240" w:lineRule="auto"/>
              <w:jc w:val="center"/>
              <w:rPr>
                <w:rFonts w:cs="Times New Roman"/>
              </w:rPr>
            </w:pPr>
            <w:r w:rsidRPr="00654E3B">
              <w:rPr>
                <w:rFonts w:cs="Times New Roman"/>
              </w:rPr>
              <w:t>3,984</w:t>
            </w:r>
          </w:p>
        </w:tc>
        <w:tc>
          <w:tcPr>
            <w:tcW w:w="964" w:type="dxa"/>
            <w:vAlign w:val="center"/>
          </w:tcPr>
          <w:p w:rsidR="007D4A93" w:rsidRPr="00654E3B" w:rsidRDefault="00EF0BEB">
            <w:pPr>
              <w:spacing w:line="240" w:lineRule="auto"/>
              <w:jc w:val="center"/>
              <w:rPr>
                <w:rFonts w:cs="Times New Roman"/>
              </w:rPr>
            </w:pPr>
            <w:r w:rsidRPr="00654E3B">
              <w:rPr>
                <w:rFonts w:cs="Times New Roman"/>
              </w:rPr>
              <w:t>3,755</w:t>
            </w:r>
          </w:p>
        </w:tc>
        <w:tc>
          <w:tcPr>
            <w:tcW w:w="964" w:type="dxa"/>
            <w:vAlign w:val="center"/>
          </w:tcPr>
          <w:p w:rsidR="007D4A93" w:rsidRPr="00654E3B" w:rsidRDefault="00EF0BEB">
            <w:pPr>
              <w:spacing w:line="240" w:lineRule="auto"/>
              <w:jc w:val="center"/>
              <w:rPr>
                <w:rFonts w:cs="Times New Roman"/>
              </w:rPr>
            </w:pPr>
            <w:r w:rsidRPr="00654E3B">
              <w:rPr>
                <w:rFonts w:cs="Times New Roman"/>
              </w:rPr>
              <w:t>3,532</w:t>
            </w:r>
          </w:p>
        </w:tc>
        <w:tc>
          <w:tcPr>
            <w:tcW w:w="964" w:type="dxa"/>
            <w:vAlign w:val="center"/>
          </w:tcPr>
          <w:p w:rsidR="007D4A93" w:rsidRPr="00654E3B" w:rsidRDefault="00EF0BEB">
            <w:pPr>
              <w:spacing w:line="240" w:lineRule="auto"/>
              <w:jc w:val="center"/>
              <w:rPr>
                <w:rFonts w:cs="Times New Roman"/>
              </w:rPr>
            </w:pPr>
            <w:r w:rsidRPr="00654E3B">
              <w:rPr>
                <w:rFonts w:cs="Times New Roman"/>
              </w:rPr>
              <w:t>3,295</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Broj zaposlenih, konstantna aktivnost, u milijunima</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1,550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1,559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1,434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1,315</w:t>
            </w:r>
          </w:p>
        </w:tc>
        <w:tc>
          <w:tcPr>
            <w:tcW w:w="964" w:type="dxa"/>
            <w:vAlign w:val="center"/>
          </w:tcPr>
          <w:p w:rsidR="007D4A93" w:rsidRPr="00654E3B" w:rsidRDefault="00EF0BEB">
            <w:pPr>
              <w:spacing w:line="240" w:lineRule="auto"/>
              <w:jc w:val="center"/>
              <w:rPr>
                <w:rFonts w:cs="Times New Roman"/>
              </w:rPr>
            </w:pPr>
            <w:r w:rsidRPr="00654E3B">
              <w:rPr>
                <w:rFonts w:cs="Times New Roman"/>
              </w:rPr>
              <w:t>1,191</w:t>
            </w:r>
          </w:p>
        </w:tc>
      </w:tr>
      <w:tr w:rsidR="007D4A93" w:rsidRPr="00654E3B">
        <w:trPr>
          <w:trHeight w:val="397"/>
        </w:trPr>
        <w:tc>
          <w:tcPr>
            <w:tcW w:w="4252" w:type="dxa"/>
            <w:shd w:val="clear" w:color="auto" w:fill="F2F2F2" w:themeFill="background1" w:themeFillShade="F2"/>
            <w:vAlign w:val="center"/>
          </w:tcPr>
          <w:p w:rsidR="007D4A93" w:rsidRPr="00654E3B" w:rsidRDefault="007D4A93">
            <w:pPr>
              <w:spacing w:line="240" w:lineRule="auto"/>
              <w:jc w:val="center"/>
              <w:rPr>
                <w:rFonts w:cs="Times New Roman"/>
              </w:rPr>
            </w:pPr>
          </w:p>
        </w:tc>
        <w:tc>
          <w:tcPr>
            <w:tcW w:w="4820" w:type="dxa"/>
            <w:gridSpan w:val="5"/>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Konvergencija produktivnosti</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rPr>
              <w:t>BDP, stalne cijene 2010., milijarde HRK</w:t>
            </w:r>
          </w:p>
        </w:tc>
        <w:tc>
          <w:tcPr>
            <w:tcW w:w="964" w:type="dxa"/>
            <w:vAlign w:val="center"/>
          </w:tcPr>
          <w:p w:rsidR="007D4A93" w:rsidRPr="00654E3B" w:rsidRDefault="00EF0BEB">
            <w:pPr>
              <w:spacing w:line="240" w:lineRule="auto"/>
              <w:jc w:val="center"/>
              <w:rPr>
                <w:rFonts w:cs="Times New Roman"/>
              </w:rPr>
            </w:pPr>
            <w:r w:rsidRPr="00654E3B">
              <w:rPr>
                <w:rFonts w:cs="Times New Roman"/>
              </w:rPr>
              <w:t>335,902</w:t>
            </w:r>
          </w:p>
        </w:tc>
        <w:tc>
          <w:tcPr>
            <w:tcW w:w="964" w:type="dxa"/>
            <w:vAlign w:val="center"/>
          </w:tcPr>
          <w:p w:rsidR="007D4A93" w:rsidRPr="00654E3B" w:rsidRDefault="00EF0BEB">
            <w:pPr>
              <w:spacing w:line="240" w:lineRule="auto"/>
              <w:jc w:val="center"/>
              <w:rPr>
                <w:rFonts w:cs="Times New Roman"/>
              </w:rPr>
            </w:pPr>
            <w:r w:rsidRPr="00654E3B">
              <w:rPr>
                <w:rFonts w:cs="Times New Roman"/>
              </w:rPr>
              <w:t>373,595</w:t>
            </w:r>
          </w:p>
        </w:tc>
        <w:tc>
          <w:tcPr>
            <w:tcW w:w="964" w:type="dxa"/>
            <w:vAlign w:val="center"/>
          </w:tcPr>
          <w:p w:rsidR="007D4A93" w:rsidRPr="00654E3B" w:rsidRDefault="00EF0BEB">
            <w:pPr>
              <w:spacing w:line="240" w:lineRule="auto"/>
              <w:jc w:val="center"/>
              <w:rPr>
                <w:rFonts w:cs="Times New Roman"/>
              </w:rPr>
            </w:pPr>
            <w:r w:rsidRPr="00654E3B">
              <w:rPr>
                <w:rFonts w:cs="Times New Roman"/>
              </w:rPr>
              <w:t>462,111</w:t>
            </w:r>
          </w:p>
        </w:tc>
        <w:tc>
          <w:tcPr>
            <w:tcW w:w="964" w:type="dxa"/>
            <w:vAlign w:val="center"/>
          </w:tcPr>
          <w:p w:rsidR="007D4A93" w:rsidRPr="00654E3B" w:rsidRDefault="00EF0BEB">
            <w:pPr>
              <w:spacing w:line="240" w:lineRule="auto"/>
              <w:jc w:val="center"/>
              <w:rPr>
                <w:rFonts w:cs="Times New Roman"/>
              </w:rPr>
            </w:pPr>
            <w:r w:rsidRPr="00654E3B">
              <w:rPr>
                <w:rFonts w:cs="Times New Roman"/>
              </w:rPr>
              <w:t>551,311</w:t>
            </w:r>
          </w:p>
        </w:tc>
        <w:tc>
          <w:tcPr>
            <w:tcW w:w="964" w:type="dxa"/>
            <w:vAlign w:val="center"/>
          </w:tcPr>
          <w:p w:rsidR="007D4A93" w:rsidRPr="00654E3B" w:rsidRDefault="00EF0BEB">
            <w:pPr>
              <w:spacing w:line="240" w:lineRule="auto"/>
              <w:jc w:val="center"/>
              <w:rPr>
                <w:rFonts w:cs="Times New Roman"/>
              </w:rPr>
            </w:pPr>
            <w:r w:rsidRPr="00654E3B">
              <w:rPr>
                <w:rFonts w:cs="Times New Roman"/>
              </w:rPr>
              <w:t>649,695</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rPr>
              <w:t>BDP, indeks 2016. = 100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100,0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111,2</w:t>
            </w:r>
          </w:p>
        </w:tc>
        <w:tc>
          <w:tcPr>
            <w:tcW w:w="964" w:type="dxa"/>
            <w:vAlign w:val="center"/>
          </w:tcPr>
          <w:p w:rsidR="007D4A93" w:rsidRPr="00654E3B" w:rsidRDefault="00EF0BEB">
            <w:pPr>
              <w:spacing w:line="240" w:lineRule="auto"/>
              <w:jc w:val="center"/>
              <w:rPr>
                <w:rFonts w:cs="Times New Roman"/>
              </w:rPr>
            </w:pPr>
            <w:r w:rsidRPr="00654E3B">
              <w:rPr>
                <w:rFonts w:cs="Times New Roman"/>
              </w:rPr>
              <w:t>137,6</w:t>
            </w:r>
          </w:p>
        </w:tc>
        <w:tc>
          <w:tcPr>
            <w:tcW w:w="964" w:type="dxa"/>
            <w:vAlign w:val="center"/>
          </w:tcPr>
          <w:p w:rsidR="007D4A93" w:rsidRPr="00654E3B" w:rsidRDefault="00EF0BEB">
            <w:pPr>
              <w:spacing w:line="240" w:lineRule="auto"/>
              <w:jc w:val="center"/>
              <w:rPr>
                <w:rFonts w:cs="Times New Roman"/>
              </w:rPr>
            </w:pPr>
            <w:r w:rsidRPr="00654E3B">
              <w:rPr>
                <w:rFonts w:cs="Times New Roman"/>
              </w:rPr>
              <w:t>164,1</w:t>
            </w:r>
          </w:p>
        </w:tc>
        <w:tc>
          <w:tcPr>
            <w:tcW w:w="964" w:type="dxa"/>
            <w:vAlign w:val="center"/>
          </w:tcPr>
          <w:p w:rsidR="007D4A93" w:rsidRPr="00654E3B" w:rsidRDefault="00EF0BEB">
            <w:pPr>
              <w:spacing w:line="240" w:lineRule="auto"/>
              <w:jc w:val="center"/>
              <w:rPr>
                <w:rFonts w:cs="Times New Roman"/>
              </w:rPr>
            </w:pPr>
            <w:r w:rsidRPr="00654E3B">
              <w:rPr>
                <w:rFonts w:cs="Times New Roman"/>
              </w:rPr>
              <w:t>193,4</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BDP po stanovniku, stalne cijene 2010., tisuća HRK</w:t>
            </w:r>
          </w:p>
        </w:tc>
        <w:tc>
          <w:tcPr>
            <w:tcW w:w="964" w:type="dxa"/>
            <w:vAlign w:val="center"/>
          </w:tcPr>
          <w:p w:rsidR="007D4A93" w:rsidRPr="00654E3B" w:rsidRDefault="00EF0BEB">
            <w:pPr>
              <w:spacing w:line="240" w:lineRule="auto"/>
              <w:jc w:val="center"/>
              <w:rPr>
                <w:rFonts w:cs="Times New Roman"/>
              </w:rPr>
            </w:pPr>
            <w:r w:rsidRPr="00654E3B">
              <w:rPr>
                <w:rFonts w:cs="Times New Roman"/>
              </w:rPr>
              <w:t>82</w:t>
            </w:r>
          </w:p>
        </w:tc>
        <w:tc>
          <w:tcPr>
            <w:tcW w:w="964" w:type="dxa"/>
            <w:vAlign w:val="center"/>
          </w:tcPr>
          <w:p w:rsidR="007D4A93" w:rsidRPr="00654E3B" w:rsidRDefault="00EF0BEB">
            <w:pPr>
              <w:spacing w:line="240" w:lineRule="auto"/>
              <w:jc w:val="center"/>
              <w:rPr>
                <w:rFonts w:cs="Times New Roman"/>
              </w:rPr>
            </w:pPr>
            <w:r w:rsidRPr="00654E3B">
              <w:rPr>
                <w:rFonts w:cs="Times New Roman"/>
              </w:rPr>
              <w:t>94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123</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156</w:t>
            </w:r>
          </w:p>
        </w:tc>
        <w:tc>
          <w:tcPr>
            <w:tcW w:w="964" w:type="dxa"/>
            <w:vAlign w:val="center"/>
          </w:tcPr>
          <w:p w:rsidR="007D4A93" w:rsidRPr="00654E3B" w:rsidRDefault="00EF0BEB">
            <w:pPr>
              <w:spacing w:line="240" w:lineRule="auto"/>
              <w:jc w:val="center"/>
              <w:rPr>
                <w:rFonts w:cs="Times New Roman"/>
              </w:rPr>
            </w:pPr>
            <w:r w:rsidRPr="00654E3B">
              <w:rPr>
                <w:rFonts w:cs="Times New Roman"/>
              </w:rPr>
              <w:t>197</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BDP po stanovniku, indeks 2016. = 100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100,0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114,4</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150,2</w:t>
            </w:r>
          </w:p>
        </w:tc>
        <w:tc>
          <w:tcPr>
            <w:tcW w:w="964" w:type="dxa"/>
            <w:vAlign w:val="center"/>
          </w:tcPr>
          <w:p w:rsidR="007D4A93" w:rsidRPr="00654E3B" w:rsidRDefault="00EF0BEB">
            <w:pPr>
              <w:spacing w:line="240" w:lineRule="auto"/>
              <w:jc w:val="center"/>
              <w:rPr>
                <w:rFonts w:cs="Times New Roman"/>
              </w:rPr>
            </w:pPr>
            <w:r w:rsidRPr="00654E3B">
              <w:rPr>
                <w:rFonts w:cs="Times New Roman"/>
              </w:rPr>
              <w:t>190,5</w:t>
            </w:r>
          </w:p>
        </w:tc>
        <w:tc>
          <w:tcPr>
            <w:tcW w:w="964" w:type="dxa"/>
            <w:vAlign w:val="center"/>
          </w:tcPr>
          <w:p w:rsidR="007D4A93" w:rsidRPr="00654E3B" w:rsidRDefault="00EF0BEB">
            <w:pPr>
              <w:spacing w:line="240" w:lineRule="auto"/>
              <w:jc w:val="center"/>
              <w:rPr>
                <w:rFonts w:cs="Times New Roman"/>
              </w:rPr>
            </w:pPr>
            <w:r w:rsidRPr="00654E3B">
              <w:rPr>
                <w:rFonts w:cs="Times New Roman"/>
              </w:rPr>
              <w:t>240,6</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lastRenderedPageBreak/>
              <w:t>Broj stanovnika, u milijunima</w:t>
            </w:r>
          </w:p>
        </w:tc>
        <w:tc>
          <w:tcPr>
            <w:tcW w:w="964" w:type="dxa"/>
            <w:vAlign w:val="center"/>
          </w:tcPr>
          <w:p w:rsidR="007D4A93" w:rsidRPr="00654E3B" w:rsidRDefault="00EF0BEB">
            <w:pPr>
              <w:spacing w:line="240" w:lineRule="auto"/>
              <w:jc w:val="center"/>
              <w:rPr>
                <w:rFonts w:cs="Times New Roman"/>
              </w:rPr>
            </w:pPr>
            <w:r w:rsidRPr="00654E3B">
              <w:rPr>
                <w:rFonts w:cs="Times New Roman"/>
              </w:rPr>
              <w:t>4,099</w:t>
            </w:r>
          </w:p>
        </w:tc>
        <w:tc>
          <w:tcPr>
            <w:tcW w:w="964" w:type="dxa"/>
            <w:vAlign w:val="center"/>
          </w:tcPr>
          <w:p w:rsidR="007D4A93" w:rsidRPr="00654E3B" w:rsidRDefault="00EF0BEB">
            <w:pPr>
              <w:spacing w:line="240" w:lineRule="auto"/>
              <w:jc w:val="center"/>
              <w:rPr>
                <w:rFonts w:cs="Times New Roman"/>
              </w:rPr>
            </w:pPr>
            <w:r w:rsidRPr="00654E3B">
              <w:rPr>
                <w:rFonts w:cs="Times New Roman"/>
              </w:rPr>
              <w:t>3,984</w:t>
            </w:r>
          </w:p>
        </w:tc>
        <w:tc>
          <w:tcPr>
            <w:tcW w:w="964" w:type="dxa"/>
            <w:vAlign w:val="center"/>
          </w:tcPr>
          <w:p w:rsidR="007D4A93" w:rsidRPr="00654E3B" w:rsidRDefault="00EF0BEB">
            <w:pPr>
              <w:spacing w:line="240" w:lineRule="auto"/>
              <w:jc w:val="center"/>
              <w:rPr>
                <w:rFonts w:cs="Times New Roman"/>
              </w:rPr>
            </w:pPr>
            <w:r w:rsidRPr="00654E3B">
              <w:rPr>
                <w:rFonts w:cs="Times New Roman"/>
              </w:rPr>
              <w:t>3,755</w:t>
            </w:r>
          </w:p>
        </w:tc>
        <w:tc>
          <w:tcPr>
            <w:tcW w:w="964" w:type="dxa"/>
            <w:vAlign w:val="center"/>
          </w:tcPr>
          <w:p w:rsidR="007D4A93" w:rsidRPr="00654E3B" w:rsidRDefault="00EF0BEB">
            <w:pPr>
              <w:spacing w:line="240" w:lineRule="auto"/>
              <w:jc w:val="center"/>
              <w:rPr>
                <w:rFonts w:cs="Times New Roman"/>
              </w:rPr>
            </w:pPr>
            <w:r w:rsidRPr="00654E3B">
              <w:rPr>
                <w:rFonts w:cs="Times New Roman"/>
              </w:rPr>
              <w:t>3,532</w:t>
            </w:r>
          </w:p>
        </w:tc>
        <w:tc>
          <w:tcPr>
            <w:tcW w:w="964" w:type="dxa"/>
            <w:vAlign w:val="center"/>
          </w:tcPr>
          <w:p w:rsidR="007D4A93" w:rsidRPr="00654E3B" w:rsidRDefault="00EF0BEB">
            <w:pPr>
              <w:spacing w:line="240" w:lineRule="auto"/>
              <w:jc w:val="center"/>
              <w:rPr>
                <w:rFonts w:cs="Times New Roman"/>
              </w:rPr>
            </w:pPr>
            <w:r w:rsidRPr="00654E3B">
              <w:rPr>
                <w:rFonts w:cs="Times New Roman"/>
              </w:rPr>
              <w:t>3,295</w:t>
            </w:r>
          </w:p>
        </w:tc>
      </w:tr>
      <w:tr w:rsidR="007D4A93" w:rsidRPr="00654E3B">
        <w:trPr>
          <w:trHeight w:val="397"/>
        </w:trPr>
        <w:tc>
          <w:tcPr>
            <w:tcW w:w="4252" w:type="dxa"/>
            <w:shd w:val="clear" w:color="auto" w:fill="F2F2F2" w:themeFill="background1" w:themeFillShade="F2"/>
            <w:vAlign w:val="center"/>
          </w:tcPr>
          <w:p w:rsidR="007D4A93" w:rsidRPr="00654E3B" w:rsidRDefault="00EF0BEB">
            <w:pPr>
              <w:spacing w:line="240" w:lineRule="auto"/>
              <w:jc w:val="left"/>
              <w:rPr>
                <w:rFonts w:cs="Times New Roman"/>
                <w:b/>
                <w:spacing w:val="-1"/>
              </w:rPr>
            </w:pPr>
            <w:r w:rsidRPr="00654E3B">
              <w:rPr>
                <w:rFonts w:cs="Times New Roman"/>
              </w:rPr>
              <w:t>Broj zaposlenih, konstantna aktivnost, u milijunima</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1,550</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1,576</w:t>
            </w:r>
          </w:p>
        </w:tc>
        <w:tc>
          <w:tcPr>
            <w:tcW w:w="964" w:type="dxa"/>
            <w:vAlign w:val="center"/>
          </w:tcPr>
          <w:p w:rsidR="007D4A93" w:rsidRPr="00654E3B" w:rsidRDefault="00EF0BEB">
            <w:pPr>
              <w:spacing w:line="240" w:lineRule="auto"/>
              <w:jc w:val="center"/>
              <w:rPr>
                <w:rFonts w:cs="Times New Roman"/>
              </w:rPr>
            </w:pPr>
            <w:r w:rsidRPr="00654E3B">
              <w:rPr>
                <w:rFonts w:cs="Times New Roman"/>
              </w:rPr>
              <w:t>1,502</w:t>
            </w:r>
          </w:p>
        </w:tc>
        <w:tc>
          <w:tcPr>
            <w:tcW w:w="964" w:type="dxa"/>
            <w:vAlign w:val="center"/>
          </w:tcPr>
          <w:p w:rsidR="007D4A93" w:rsidRPr="00654E3B" w:rsidRDefault="00EF0BEB">
            <w:pPr>
              <w:spacing w:line="240" w:lineRule="auto"/>
              <w:jc w:val="center"/>
              <w:rPr>
                <w:rFonts w:cs="Times New Roman"/>
              </w:rPr>
            </w:pPr>
            <w:r w:rsidRPr="00654E3B">
              <w:rPr>
                <w:rFonts w:cs="Times New Roman"/>
              </w:rPr>
              <w:t>1,429</w:t>
            </w:r>
          </w:p>
        </w:tc>
        <w:tc>
          <w:tcPr>
            <w:tcW w:w="964" w:type="dxa"/>
            <w:vAlign w:val="center"/>
          </w:tcPr>
          <w:p w:rsidR="007D4A93" w:rsidRPr="00654E3B" w:rsidRDefault="00EF0BEB">
            <w:pPr>
              <w:spacing w:line="240" w:lineRule="auto"/>
              <w:jc w:val="center"/>
              <w:rPr>
                <w:rFonts w:cs="Times New Roman"/>
              </w:rPr>
            </w:pPr>
            <w:r w:rsidRPr="00654E3B">
              <w:rPr>
                <w:rFonts w:cs="Times New Roman"/>
              </w:rPr>
              <w:t>1,342</w:t>
            </w:r>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t>Scenarij konvergencije omogućava Republici Hrvatskoj da u određenoj mjeri smanji jaz u razvijenosti prema drugim članicama EU-a, iako ni ta brzina ne osigurava dostizanje prosjeka EU. Prema scenariju konvergencije predviđa se da će BDP u 2030. biti za 37,6</w:t>
      </w:r>
      <w:r w:rsidR="00060992" w:rsidRPr="00654E3B">
        <w:rPr>
          <w:rFonts w:cs="Times New Roman"/>
        </w:rPr>
        <w:t xml:space="preserve"> %</w:t>
      </w:r>
      <w:r w:rsidRPr="00654E3B">
        <w:rPr>
          <w:rFonts w:cs="Times New Roman"/>
        </w:rPr>
        <w:t xml:space="preserve"> veći nego u 2016.</w:t>
      </w:r>
      <w:r w:rsidR="007D716D" w:rsidRPr="00654E3B">
        <w:rPr>
          <w:rFonts w:cs="Times New Roman"/>
        </w:rPr>
        <w:t>,</w:t>
      </w:r>
      <w:r w:rsidRPr="00654E3B">
        <w:rPr>
          <w:rFonts w:cs="Times New Roman"/>
        </w:rPr>
        <w:t xml:space="preserve"> te za 93,4</w:t>
      </w:r>
      <w:r w:rsidR="00060992" w:rsidRPr="00654E3B">
        <w:rPr>
          <w:rFonts w:cs="Times New Roman"/>
        </w:rPr>
        <w:t xml:space="preserve"> %</w:t>
      </w:r>
      <w:r w:rsidRPr="00654E3B">
        <w:rPr>
          <w:rFonts w:cs="Times New Roman"/>
        </w:rPr>
        <w:t xml:space="preserve"> u 2050. godini. Pritom bi BDP po stanovniku iznosio 123.000 HRK u 2030. i 197.000 HRK u 2050. godini prema 82.000 HRK u 2016. godini.</w:t>
      </w:r>
    </w:p>
    <w:p w:rsidR="007D4A93" w:rsidRPr="00654E3B" w:rsidRDefault="00EF0BEB">
      <w:pPr>
        <w:rPr>
          <w:rFonts w:cs="Times New Roman"/>
          <w:u w:val="single"/>
        </w:rPr>
      </w:pPr>
      <w:r w:rsidRPr="00654E3B">
        <w:rPr>
          <w:rFonts w:cs="Times New Roman"/>
          <w:u w:val="single"/>
        </w:rPr>
        <w:t xml:space="preserve">Cijene goriva </w:t>
      </w:r>
    </w:p>
    <w:p w:rsidR="007D4A93" w:rsidRPr="00654E3B" w:rsidRDefault="00EF0BEB">
      <w:pPr>
        <w:rPr>
          <w:rFonts w:cs="Times New Roman"/>
        </w:rPr>
      </w:pPr>
      <w:r w:rsidRPr="00654E3B">
        <w:rPr>
          <w:rFonts w:cs="Times New Roman"/>
        </w:rPr>
        <w:t xml:space="preserve">Cijene fosilnih goriva do 2050. godine pretpostavljene su u skladu s predviđanjima Međunarodne agencije za energiju. </w:t>
      </w:r>
    </w:p>
    <w:p w:rsidR="007D4A93" w:rsidRPr="00654E3B" w:rsidRDefault="00EF0BEB">
      <w:pPr>
        <w:rPr>
          <w:rFonts w:cs="Times New Roman"/>
        </w:rPr>
      </w:pPr>
      <w:r w:rsidRPr="00654E3B">
        <w:rPr>
          <w:rFonts w:cs="Times New Roman"/>
        </w:rPr>
        <w:t>Cijene za razdoblje nakon 2040. godine su ekstrapolirane i za potrebe analize svedene na euro iz 2015. godine. Na slici 3-2 prikazana je razina tako pretpostavljenih cijena za fosilna goriva u EUR/GJ.</w:t>
      </w:r>
    </w:p>
    <w:p w:rsidR="007D4A93" w:rsidRPr="00654E3B" w:rsidRDefault="00EF0BEB">
      <w:pPr>
        <w:rPr>
          <w:rFonts w:cs="Times New Roman"/>
        </w:rPr>
      </w:pPr>
      <w:r w:rsidRPr="00654E3B">
        <w:rPr>
          <w:rFonts w:cs="Times New Roman"/>
        </w:rPr>
        <w:t>Za prirodni plin i za ugljen preuzete su cijene relevantne za područje EU-a. Za nuklearno gorivo pretpostavljena je nepromjenjiva cijena od 0,74 EUR/GJ, a za biomasu 4,6 EUR/GJ.</w:t>
      </w:r>
    </w:p>
    <w:p w:rsidR="007D4A93" w:rsidRPr="00F01191" w:rsidRDefault="00EF0BEB">
      <w:pPr>
        <w:pStyle w:val="Slika"/>
        <w:spacing w:before="120"/>
        <w:jc w:val="center"/>
        <w:rPr>
          <w:rFonts w:ascii="Times New Roman" w:eastAsia="Calibri" w:hAnsi="Times New Roman"/>
        </w:rPr>
      </w:pPr>
      <w:bookmarkStart w:id="199" w:name="_Toc484158369"/>
      <w:bookmarkStart w:id="200" w:name="_Toc33417100"/>
      <w:r w:rsidRPr="00F01191">
        <w:rPr>
          <w:rFonts w:ascii="Times New Roman" w:eastAsia="Calibri" w:hAnsi="Times New Roman"/>
          <w:noProof/>
          <w:lang w:val="en-US"/>
        </w:rPr>
        <w:drawing>
          <wp:inline distT="0" distB="0" distL="0" distR="0" wp14:anchorId="58996052" wp14:editId="0F1108BA">
            <wp:extent cx="4255008" cy="2176272"/>
            <wp:effectExtent l="0" t="0" r="0" b="0"/>
            <wp:docPr id="10"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jpg"/>
                    <pic:cNvPicPr>
                      <a:picLocks noChangeAspect="1"/>
                    </pic:cNvPicPr>
                  </pic:nvPicPr>
                  <pic:blipFill>
                    <a:blip r:embed="rId18"/>
                    <a:stretch/>
                  </pic:blipFill>
                  <pic:spPr bwMode="auto">
                    <a:xfrm>
                      <a:off x="0" y="0"/>
                      <a:ext cx="4255008" cy="2176272"/>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eastAsia="Calibri" w:hAnsi="Times New Roman"/>
          <w:i/>
        </w:rPr>
        <w:t>Slika 3-2: Projekcije kretanja cijena fosilnih goriva</w:t>
      </w:r>
      <w:bookmarkEnd w:id="199"/>
      <w:r w:rsidRPr="00654E3B">
        <w:rPr>
          <w:rFonts w:ascii="Times New Roman" w:eastAsia="Calibri" w:hAnsi="Times New Roman"/>
          <w:i/>
        </w:rPr>
        <w:t xml:space="preserve"> do 2050. godine</w:t>
      </w:r>
      <w:bookmarkEnd w:id="200"/>
    </w:p>
    <w:p w:rsidR="007D4A93" w:rsidRPr="00654E3B" w:rsidRDefault="00EF0BEB">
      <w:pPr>
        <w:rPr>
          <w:rFonts w:cs="Times New Roman"/>
          <w:u w:val="single"/>
        </w:rPr>
      </w:pPr>
      <w:r w:rsidRPr="00654E3B">
        <w:rPr>
          <w:rFonts w:cs="Times New Roman"/>
          <w:u w:val="single"/>
        </w:rPr>
        <w:t>Cijene na tržištu električne energije</w:t>
      </w:r>
    </w:p>
    <w:p w:rsidR="007D4A93" w:rsidRPr="00654E3B" w:rsidRDefault="00EF0BEB">
      <w:pPr>
        <w:rPr>
          <w:rFonts w:cs="Times New Roman"/>
        </w:rPr>
      </w:pPr>
      <w:r w:rsidRPr="00654E3B">
        <w:rPr>
          <w:rFonts w:cs="Times New Roman"/>
        </w:rPr>
        <w:t>Ukupne potrebe za električnom energijom u Republici Hrvatskoj velikim dijelom se osiguravaju iz uvoza te su cijene električne energije važan ulazni parametar u dugoročnim analizama. Za očekivati je da će se trend uvoza nastaviti u narednih 5-10 godina i da će ovisiti o cijenama, koje</w:t>
      </w:r>
      <w:r w:rsidR="00AA755C" w:rsidRPr="00654E3B">
        <w:rPr>
          <w:rFonts w:cs="Times New Roman"/>
        </w:rPr>
        <w:t xml:space="preserve"> će rasti, a</w:t>
      </w:r>
      <w:r w:rsidRPr="00654E3B">
        <w:rPr>
          <w:rFonts w:cs="Times New Roman"/>
        </w:rPr>
        <w:t xml:space="preserve"> izravno</w:t>
      </w:r>
      <w:r w:rsidR="00AA755C" w:rsidRPr="00654E3B">
        <w:rPr>
          <w:rFonts w:cs="Times New Roman"/>
        </w:rPr>
        <w:t xml:space="preserve"> su</w:t>
      </w:r>
      <w:r w:rsidRPr="00654E3B">
        <w:rPr>
          <w:rFonts w:cs="Times New Roman"/>
        </w:rPr>
        <w:t xml:space="preserve"> povezane s raspoloživim količinama na tržištu.</w:t>
      </w:r>
    </w:p>
    <w:p w:rsidR="007D4A93" w:rsidRPr="00654E3B" w:rsidRDefault="00EF0BEB">
      <w:pPr>
        <w:rPr>
          <w:rFonts w:cs="Times New Roman"/>
        </w:rPr>
      </w:pPr>
      <w:r w:rsidRPr="00654E3B">
        <w:rPr>
          <w:rFonts w:cs="Times New Roman"/>
        </w:rPr>
        <w:t>Za potrebe provedenih analiza</w:t>
      </w:r>
      <w:r w:rsidR="007D716D" w:rsidRPr="00654E3B">
        <w:rPr>
          <w:rFonts w:cs="Times New Roman"/>
        </w:rPr>
        <w:t>,</w:t>
      </w:r>
      <w:r w:rsidRPr="00654E3B">
        <w:rPr>
          <w:rFonts w:cs="Times New Roman"/>
        </w:rPr>
        <w:t xml:space="preserve"> pretpostavljeno je da će u razdoblju do 2030. godine na raspolaganju biti dovoljne količine električne energije za potrebe pokrivanja potreba u hrvatskom elektroenergetskom sustavu, a da će dugoročno (do 2050. godine), ukupna godišnja neto razmjena sa susjednim sustavima biti u ravnoteži. </w:t>
      </w:r>
    </w:p>
    <w:p w:rsidR="007D4A93" w:rsidRPr="00654E3B" w:rsidRDefault="00EF0BEB">
      <w:pPr>
        <w:rPr>
          <w:rFonts w:cs="Times New Roman"/>
          <w:sz w:val="32"/>
          <w:u w:val="single"/>
        </w:rPr>
      </w:pPr>
      <w:r w:rsidRPr="00654E3B">
        <w:rPr>
          <w:rFonts w:cs="Times New Roman"/>
          <w:u w:val="single"/>
        </w:rPr>
        <w:t>Cijene emisijskih jedinica u ETS-u</w:t>
      </w:r>
      <w:r w:rsidRPr="00654E3B">
        <w:rPr>
          <w:rFonts w:cs="Times New Roman"/>
          <w:sz w:val="32"/>
          <w:u w:val="single"/>
        </w:rPr>
        <w:t xml:space="preserve"> </w:t>
      </w:r>
    </w:p>
    <w:p w:rsidR="007D4A93" w:rsidRPr="00654E3B" w:rsidRDefault="00EF0BEB">
      <w:pPr>
        <w:rPr>
          <w:rFonts w:cs="Times New Roman"/>
        </w:rPr>
      </w:pPr>
      <w:r w:rsidRPr="00654E3B">
        <w:rPr>
          <w:rFonts w:cs="Times New Roman"/>
        </w:rPr>
        <w:t xml:space="preserve">Trend porasta cijena emisijskih jedinica </w:t>
      </w:r>
      <w:r w:rsidR="00C62974" w:rsidRPr="00654E3B">
        <w:rPr>
          <w:rFonts w:cs="Times New Roman"/>
        </w:rPr>
        <w:t>u</w:t>
      </w:r>
      <w:r w:rsidRPr="00654E3B">
        <w:rPr>
          <w:rFonts w:cs="Times New Roman"/>
        </w:rPr>
        <w:t xml:space="preserve"> </w:t>
      </w:r>
      <w:r w:rsidR="001367B3" w:rsidRPr="00654E3B">
        <w:rPr>
          <w:rFonts w:cs="Times New Roman"/>
        </w:rPr>
        <w:t xml:space="preserve">EU </w:t>
      </w:r>
      <w:r w:rsidRPr="00654E3B">
        <w:rPr>
          <w:rFonts w:cs="Times New Roman"/>
        </w:rPr>
        <w:t>ETS sustav</w:t>
      </w:r>
      <w:r w:rsidR="00C62974" w:rsidRPr="00654E3B">
        <w:rPr>
          <w:rFonts w:cs="Times New Roman"/>
        </w:rPr>
        <w:t>u</w:t>
      </w:r>
      <w:r w:rsidRPr="00654E3B">
        <w:rPr>
          <w:rFonts w:cs="Times New Roman"/>
        </w:rPr>
        <w:t xml:space="preserve"> preuzet</w:t>
      </w:r>
      <w:r w:rsidR="007D716D" w:rsidRPr="00654E3B">
        <w:rPr>
          <w:rFonts w:cs="Times New Roman"/>
        </w:rPr>
        <w:t xml:space="preserve"> je</w:t>
      </w:r>
      <w:r w:rsidRPr="00654E3B">
        <w:rPr>
          <w:rFonts w:cs="Times New Roman"/>
        </w:rPr>
        <w:t xml:space="preserve"> iz EU Referentnog scenarija 2016. U tom modelu cijene emisijskih jedinica su proizašle kao endogene veličine modeliranja sustava, kao posljedica trenda smanjenja ukupne kvote</w:t>
      </w:r>
      <w:r w:rsidR="001367B3" w:rsidRPr="00654E3B">
        <w:rPr>
          <w:rFonts w:cs="Times New Roman"/>
        </w:rPr>
        <w:t xml:space="preserve"> EU</w:t>
      </w:r>
      <w:r w:rsidRPr="00654E3B">
        <w:rPr>
          <w:rFonts w:cs="Times New Roman"/>
        </w:rPr>
        <w:t xml:space="preserve"> ETS-a (kvota se smanjuje za 1,74</w:t>
      </w:r>
      <w:r w:rsidR="00060992" w:rsidRPr="00654E3B">
        <w:rPr>
          <w:rFonts w:cs="Times New Roman"/>
        </w:rPr>
        <w:t xml:space="preserve"> %</w:t>
      </w:r>
      <w:r w:rsidRPr="00654E3B">
        <w:rPr>
          <w:rFonts w:cs="Times New Roman"/>
        </w:rPr>
        <w:t xml:space="preserve"> godišnje do 2020. godine, zatim 2,2</w:t>
      </w:r>
      <w:r w:rsidR="00060992" w:rsidRPr="00654E3B">
        <w:rPr>
          <w:rFonts w:cs="Times New Roman"/>
        </w:rPr>
        <w:t xml:space="preserve"> %</w:t>
      </w:r>
      <w:r w:rsidRPr="00654E3B">
        <w:rPr>
          <w:rFonts w:cs="Times New Roman"/>
        </w:rPr>
        <w:t xml:space="preserve"> godišnje do 2030. godine). Porast cijene je gotovo konstantan do 2040. godine, </w:t>
      </w:r>
      <w:r w:rsidR="00A70575" w:rsidRPr="00654E3B">
        <w:rPr>
          <w:rFonts w:cs="Times New Roman"/>
        </w:rPr>
        <w:t xml:space="preserve">a </w:t>
      </w:r>
      <w:r w:rsidR="001367B3" w:rsidRPr="00654E3B">
        <w:rPr>
          <w:rFonts w:cs="Times New Roman"/>
        </w:rPr>
        <w:t>zatim</w:t>
      </w:r>
      <w:r w:rsidRPr="00654E3B">
        <w:rPr>
          <w:rFonts w:cs="Times New Roman"/>
        </w:rPr>
        <w:t xml:space="preserve"> se povećava do 2050. godine. Ovaj trend porasta treba shvatiti kao snažnu smjernicu za individualno planiranje u svakom investicijskom zahvatu.  </w:t>
      </w:r>
    </w:p>
    <w:p w:rsidR="007D4A93" w:rsidRPr="00654E3B" w:rsidRDefault="00EF0BEB">
      <w:pPr>
        <w:rPr>
          <w:rFonts w:cs="Times New Roman"/>
        </w:rPr>
      </w:pPr>
      <w:r w:rsidRPr="00654E3B">
        <w:rPr>
          <w:rFonts w:cs="Times New Roman"/>
        </w:rPr>
        <w:lastRenderedPageBreak/>
        <w:t>Osnovne cijene izražene su u eurima iz 2013. godine. U tablici 3-7 dodatno su prikazane i cijene izražene u eurima iz 2016. godine (vrijednosti koje se također navode u dokumentima EK). Trenutne cijene na tržištu pokazuju i veće vrijednosti od onih preporučenih od strane EK. Temeljem takvih kretanja procijenjena je alternativna putanja cijena do 2030. godine, svedena</w:t>
      </w:r>
      <w:r w:rsidR="00AA755C" w:rsidRPr="00654E3B">
        <w:rPr>
          <w:rFonts w:cs="Times New Roman"/>
        </w:rPr>
        <w:t xml:space="preserve"> </w:t>
      </w:r>
      <w:r w:rsidRPr="00654E3B">
        <w:rPr>
          <w:rFonts w:cs="Times New Roman"/>
        </w:rPr>
        <w:t>na euro iz 2015. godine. Ove vrijednosti korištene su u analizama za optimiranje sustava proizvodnje električne energije (tablica 3-7).</w:t>
      </w:r>
    </w:p>
    <w:p w:rsidR="007D4A93" w:rsidRPr="00654E3B" w:rsidRDefault="00EF0BEB">
      <w:pPr>
        <w:pStyle w:val="Tablicanaslov"/>
        <w:spacing w:after="120"/>
        <w:rPr>
          <w:rFonts w:cs="Times New Roman"/>
          <w:i/>
          <w:sz w:val="22"/>
          <w:szCs w:val="22"/>
        </w:rPr>
      </w:pPr>
      <w:bookmarkStart w:id="201" w:name="_Toc484158406"/>
      <w:bookmarkStart w:id="202" w:name="_Toc33417116"/>
      <w:r w:rsidRPr="00654E3B">
        <w:rPr>
          <w:rFonts w:cs="Times New Roman"/>
          <w:i/>
          <w:sz w:val="22"/>
          <w:szCs w:val="22"/>
        </w:rPr>
        <w:t xml:space="preserve">Tablica 3-7: Cijene emisijskih jedinica u </w:t>
      </w:r>
      <w:r w:rsidR="001367B3" w:rsidRPr="00654E3B">
        <w:rPr>
          <w:rFonts w:cs="Times New Roman"/>
          <w:i/>
          <w:sz w:val="22"/>
          <w:szCs w:val="22"/>
        </w:rPr>
        <w:t xml:space="preserve">EU </w:t>
      </w:r>
      <w:r w:rsidRPr="00654E3B">
        <w:rPr>
          <w:rFonts w:cs="Times New Roman"/>
          <w:i/>
          <w:sz w:val="22"/>
          <w:szCs w:val="22"/>
        </w:rPr>
        <w:t>ETS-u</w:t>
      </w:r>
      <w:bookmarkEnd w:id="201"/>
      <w:bookmarkEnd w:id="202"/>
    </w:p>
    <w:tbl>
      <w:tblPr>
        <w:tblW w:w="9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118"/>
        <w:gridCol w:w="850"/>
        <w:gridCol w:w="850"/>
        <w:gridCol w:w="850"/>
        <w:gridCol w:w="850"/>
        <w:gridCol w:w="850"/>
        <w:gridCol w:w="850"/>
        <w:gridCol w:w="850"/>
      </w:tblGrid>
      <w:tr w:rsidR="007D4A93" w:rsidRPr="00654E3B">
        <w:trPr>
          <w:trHeight w:val="397"/>
        </w:trPr>
        <w:tc>
          <w:tcPr>
            <w:tcW w:w="3118" w:type="dxa"/>
            <w:shd w:val="clear" w:color="auto" w:fill="F2F2F2" w:themeFill="background1" w:themeFillShade="F2"/>
            <w:vAlign w:val="center"/>
          </w:tcPr>
          <w:p w:rsidR="007D4A93" w:rsidRPr="00654E3B" w:rsidRDefault="007D4A93">
            <w:pPr>
              <w:spacing w:line="240" w:lineRule="auto"/>
              <w:jc w:val="left"/>
              <w:rPr>
                <w:rFonts w:cs="Times New Roman"/>
              </w:rPr>
            </w:pP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2015.</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2020.</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2025.</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2030.</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2035.</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2040.</w:t>
            </w:r>
          </w:p>
        </w:tc>
        <w:tc>
          <w:tcPr>
            <w:tcW w:w="850" w:type="dxa"/>
            <w:shd w:val="clear" w:color="auto" w:fill="F2F2F2" w:themeFill="background1" w:themeFillShade="F2"/>
            <w:vAlign w:val="center"/>
          </w:tcPr>
          <w:p w:rsidR="007D4A93" w:rsidRPr="00654E3B" w:rsidRDefault="00EF0BEB">
            <w:pPr>
              <w:spacing w:line="240" w:lineRule="auto"/>
              <w:jc w:val="center"/>
              <w:rPr>
                <w:rFonts w:cs="Times New Roman"/>
                <w:b/>
              </w:rPr>
            </w:pPr>
            <w:r w:rsidRPr="00654E3B">
              <w:rPr>
                <w:rFonts w:cs="Times New Roman"/>
                <w:b/>
              </w:rPr>
              <w:t>2050.</w:t>
            </w:r>
          </w:p>
        </w:tc>
      </w:tr>
      <w:tr w:rsidR="007D4A93" w:rsidRPr="00654E3B">
        <w:trPr>
          <w:trHeight w:val="397"/>
        </w:trPr>
        <w:tc>
          <w:tcPr>
            <w:tcW w:w="3118" w:type="dxa"/>
            <w:shd w:val="clear" w:color="auto" w:fill="F2F2F2" w:themeFill="background1" w:themeFillShade="F2"/>
            <w:vAlign w:val="center"/>
          </w:tcPr>
          <w:p w:rsidR="007D4A93" w:rsidRPr="00654E3B" w:rsidRDefault="00EF0BEB">
            <w:pPr>
              <w:spacing w:line="240" w:lineRule="auto"/>
              <w:jc w:val="left"/>
              <w:rPr>
                <w:rFonts w:cs="Times New Roman"/>
                <w:b/>
                <w:bCs/>
                <w:spacing w:val="-1"/>
              </w:rPr>
            </w:pPr>
            <w:r w:rsidRPr="00654E3B">
              <w:rPr>
                <w:rFonts w:cs="Times New Roman"/>
                <w:b/>
              </w:rPr>
              <w:t>EUR'13/t CO</w:t>
            </w:r>
            <w:r w:rsidRPr="00654E3B">
              <w:rPr>
                <w:rFonts w:cs="Times New Roman"/>
                <w:b/>
                <w:vertAlign w:val="subscript"/>
              </w:rPr>
              <w:t>2</w:t>
            </w:r>
            <w:r w:rsidRPr="00654E3B">
              <w:rPr>
                <w:rFonts w:cs="Times New Roman"/>
                <w:b/>
              </w:rPr>
              <w:t>e</w:t>
            </w:r>
          </w:p>
        </w:tc>
        <w:tc>
          <w:tcPr>
            <w:tcW w:w="850" w:type="dxa"/>
            <w:vAlign w:val="center"/>
          </w:tcPr>
          <w:p w:rsidR="007D4A93" w:rsidRPr="00654E3B" w:rsidRDefault="00EF0BEB">
            <w:pPr>
              <w:spacing w:line="240" w:lineRule="auto"/>
              <w:jc w:val="center"/>
              <w:rPr>
                <w:rFonts w:cs="Times New Roman"/>
              </w:rPr>
            </w:pPr>
            <w:r w:rsidRPr="00654E3B">
              <w:rPr>
                <w:rFonts w:cs="Times New Roman"/>
              </w:rPr>
              <w:t>7,0</w:t>
            </w:r>
          </w:p>
        </w:tc>
        <w:tc>
          <w:tcPr>
            <w:tcW w:w="850" w:type="dxa"/>
            <w:vAlign w:val="center"/>
          </w:tcPr>
          <w:p w:rsidR="007D4A93" w:rsidRPr="00654E3B" w:rsidRDefault="00EF0BEB">
            <w:pPr>
              <w:spacing w:line="240" w:lineRule="auto"/>
              <w:jc w:val="center"/>
              <w:rPr>
                <w:rFonts w:cs="Times New Roman"/>
              </w:rPr>
            </w:pPr>
            <w:r w:rsidRPr="00654E3B">
              <w:rPr>
                <w:rFonts w:cs="Times New Roman"/>
              </w:rPr>
              <w:t>15,0</w:t>
            </w:r>
          </w:p>
        </w:tc>
        <w:tc>
          <w:tcPr>
            <w:tcW w:w="850" w:type="dxa"/>
            <w:vAlign w:val="center"/>
          </w:tcPr>
          <w:p w:rsidR="007D4A93" w:rsidRPr="00654E3B" w:rsidRDefault="00EF0BEB">
            <w:pPr>
              <w:spacing w:line="240" w:lineRule="auto"/>
              <w:jc w:val="center"/>
              <w:rPr>
                <w:rFonts w:cs="Times New Roman"/>
              </w:rPr>
            </w:pPr>
            <w:r w:rsidRPr="00654E3B">
              <w:rPr>
                <w:rFonts w:cs="Times New Roman"/>
              </w:rPr>
              <w:t>22,5</w:t>
            </w:r>
          </w:p>
        </w:tc>
        <w:tc>
          <w:tcPr>
            <w:tcW w:w="850" w:type="dxa"/>
            <w:vAlign w:val="center"/>
          </w:tcPr>
          <w:p w:rsidR="007D4A93" w:rsidRPr="00654E3B" w:rsidRDefault="00EF0BEB">
            <w:pPr>
              <w:spacing w:line="240" w:lineRule="auto"/>
              <w:jc w:val="center"/>
              <w:rPr>
                <w:rFonts w:cs="Times New Roman"/>
              </w:rPr>
            </w:pPr>
            <w:r w:rsidRPr="00654E3B">
              <w:rPr>
                <w:rFonts w:cs="Times New Roman"/>
              </w:rPr>
              <w:t>33,5</w:t>
            </w:r>
          </w:p>
        </w:tc>
        <w:tc>
          <w:tcPr>
            <w:tcW w:w="850" w:type="dxa"/>
            <w:vAlign w:val="center"/>
          </w:tcPr>
          <w:p w:rsidR="007D4A93" w:rsidRPr="00654E3B" w:rsidRDefault="00EF0BEB">
            <w:pPr>
              <w:spacing w:line="240" w:lineRule="auto"/>
              <w:jc w:val="center"/>
              <w:rPr>
                <w:rFonts w:cs="Times New Roman"/>
              </w:rPr>
            </w:pPr>
            <w:r w:rsidRPr="00654E3B">
              <w:rPr>
                <w:rFonts w:cs="Times New Roman"/>
              </w:rPr>
              <w:t>42,0</w:t>
            </w:r>
          </w:p>
        </w:tc>
        <w:tc>
          <w:tcPr>
            <w:tcW w:w="850" w:type="dxa"/>
            <w:vAlign w:val="center"/>
          </w:tcPr>
          <w:p w:rsidR="007D4A93" w:rsidRPr="00654E3B" w:rsidRDefault="00EF0BEB">
            <w:pPr>
              <w:spacing w:line="240" w:lineRule="auto"/>
              <w:jc w:val="center"/>
              <w:rPr>
                <w:rFonts w:cs="Times New Roman"/>
              </w:rPr>
            </w:pPr>
            <w:r w:rsidRPr="00654E3B">
              <w:rPr>
                <w:rFonts w:eastAsia="MS Mincho" w:cs="Times New Roman"/>
              </w:rPr>
              <w:t>50,0</w:t>
            </w:r>
          </w:p>
        </w:tc>
        <w:tc>
          <w:tcPr>
            <w:tcW w:w="850" w:type="dxa"/>
            <w:vAlign w:val="center"/>
          </w:tcPr>
          <w:p w:rsidR="007D4A93" w:rsidRPr="00654E3B" w:rsidRDefault="00EF0BEB">
            <w:pPr>
              <w:spacing w:line="240" w:lineRule="auto"/>
              <w:jc w:val="center"/>
              <w:rPr>
                <w:rFonts w:cs="Times New Roman"/>
              </w:rPr>
            </w:pPr>
            <w:r w:rsidRPr="00654E3B">
              <w:rPr>
                <w:rFonts w:cs="Times New Roman"/>
              </w:rPr>
              <w:t>90,0</w:t>
            </w:r>
          </w:p>
        </w:tc>
      </w:tr>
      <w:tr w:rsidR="007D4A93" w:rsidRPr="00654E3B">
        <w:trPr>
          <w:trHeight w:val="397"/>
        </w:trPr>
        <w:tc>
          <w:tcPr>
            <w:tcW w:w="3118" w:type="dxa"/>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b/>
              </w:rPr>
              <w:t>EUR'16/t CO</w:t>
            </w:r>
            <w:r w:rsidRPr="00654E3B">
              <w:rPr>
                <w:rFonts w:cs="Times New Roman"/>
                <w:b/>
                <w:vertAlign w:val="subscript"/>
              </w:rPr>
              <w:t>2</w:t>
            </w:r>
            <w:r w:rsidRPr="00654E3B">
              <w:rPr>
                <w:rFonts w:cs="Times New Roman"/>
                <w:b/>
              </w:rPr>
              <w:t>e</w:t>
            </w:r>
          </w:p>
        </w:tc>
        <w:tc>
          <w:tcPr>
            <w:tcW w:w="850" w:type="dxa"/>
            <w:vAlign w:val="center"/>
          </w:tcPr>
          <w:p w:rsidR="007D4A93" w:rsidRPr="00654E3B" w:rsidRDefault="00EF0BEB">
            <w:pPr>
              <w:spacing w:line="240" w:lineRule="auto"/>
              <w:jc w:val="center"/>
              <w:rPr>
                <w:rFonts w:cs="Times New Roman"/>
              </w:rPr>
            </w:pPr>
            <w:r w:rsidRPr="00654E3B">
              <w:rPr>
                <w:rFonts w:cs="Times New Roman"/>
              </w:rPr>
              <w:t>7,8</w:t>
            </w:r>
          </w:p>
        </w:tc>
        <w:tc>
          <w:tcPr>
            <w:tcW w:w="850" w:type="dxa"/>
            <w:vAlign w:val="center"/>
          </w:tcPr>
          <w:p w:rsidR="007D4A93" w:rsidRPr="00654E3B" w:rsidRDefault="00EF0BEB">
            <w:pPr>
              <w:spacing w:line="240" w:lineRule="auto"/>
              <w:jc w:val="center"/>
              <w:rPr>
                <w:rFonts w:cs="Times New Roman"/>
              </w:rPr>
            </w:pPr>
            <w:r w:rsidRPr="00654E3B">
              <w:rPr>
                <w:rFonts w:cs="Times New Roman"/>
              </w:rPr>
              <w:t>15,5</w:t>
            </w:r>
          </w:p>
        </w:tc>
        <w:tc>
          <w:tcPr>
            <w:tcW w:w="850" w:type="dxa"/>
            <w:vAlign w:val="center"/>
          </w:tcPr>
          <w:p w:rsidR="007D4A93" w:rsidRPr="00654E3B" w:rsidRDefault="00EF0BEB">
            <w:pPr>
              <w:spacing w:line="240" w:lineRule="auto"/>
              <w:jc w:val="center"/>
              <w:rPr>
                <w:rFonts w:cs="Times New Roman"/>
              </w:rPr>
            </w:pPr>
            <w:r w:rsidRPr="00654E3B">
              <w:rPr>
                <w:rFonts w:cs="Times New Roman"/>
              </w:rPr>
              <w:t>23,3</w:t>
            </w:r>
          </w:p>
        </w:tc>
        <w:tc>
          <w:tcPr>
            <w:tcW w:w="850" w:type="dxa"/>
            <w:vAlign w:val="center"/>
          </w:tcPr>
          <w:p w:rsidR="007D4A93" w:rsidRPr="00654E3B" w:rsidRDefault="00EF0BEB">
            <w:pPr>
              <w:spacing w:line="240" w:lineRule="auto"/>
              <w:jc w:val="center"/>
              <w:rPr>
                <w:rFonts w:cs="Times New Roman"/>
              </w:rPr>
            </w:pPr>
            <w:r w:rsidRPr="00654E3B">
              <w:rPr>
                <w:rFonts w:cs="Times New Roman"/>
              </w:rPr>
              <w:t>34,7</w:t>
            </w:r>
          </w:p>
        </w:tc>
        <w:tc>
          <w:tcPr>
            <w:tcW w:w="850" w:type="dxa"/>
            <w:vAlign w:val="center"/>
          </w:tcPr>
          <w:p w:rsidR="007D4A93" w:rsidRPr="00654E3B" w:rsidRDefault="00EF0BEB">
            <w:pPr>
              <w:spacing w:line="240" w:lineRule="auto"/>
              <w:jc w:val="center"/>
              <w:rPr>
                <w:rFonts w:cs="Times New Roman"/>
              </w:rPr>
            </w:pPr>
            <w:r w:rsidRPr="00654E3B">
              <w:rPr>
                <w:rFonts w:cs="Times New Roman"/>
              </w:rPr>
              <w:t>43,5</w:t>
            </w:r>
          </w:p>
        </w:tc>
        <w:tc>
          <w:tcPr>
            <w:tcW w:w="850" w:type="dxa"/>
            <w:vAlign w:val="center"/>
          </w:tcPr>
          <w:p w:rsidR="007D4A93" w:rsidRPr="00654E3B" w:rsidRDefault="00EF0BEB">
            <w:pPr>
              <w:spacing w:line="240" w:lineRule="auto"/>
              <w:jc w:val="center"/>
              <w:rPr>
                <w:rFonts w:cs="Times New Roman"/>
              </w:rPr>
            </w:pPr>
            <w:r w:rsidRPr="00654E3B">
              <w:rPr>
                <w:rFonts w:cs="Times New Roman"/>
              </w:rPr>
              <w:t>51,7</w:t>
            </w:r>
          </w:p>
        </w:tc>
        <w:tc>
          <w:tcPr>
            <w:tcW w:w="850" w:type="dxa"/>
            <w:vAlign w:val="center"/>
          </w:tcPr>
          <w:p w:rsidR="007D4A93" w:rsidRPr="00654E3B" w:rsidRDefault="00EF0BEB">
            <w:pPr>
              <w:spacing w:line="240" w:lineRule="auto"/>
              <w:jc w:val="center"/>
              <w:rPr>
                <w:rFonts w:cs="Times New Roman"/>
              </w:rPr>
            </w:pPr>
            <w:r w:rsidRPr="00654E3B">
              <w:rPr>
                <w:rFonts w:cs="Times New Roman"/>
              </w:rPr>
              <w:t>93,1</w:t>
            </w:r>
          </w:p>
        </w:tc>
      </w:tr>
      <w:tr w:rsidR="007D4A93" w:rsidRPr="00654E3B">
        <w:trPr>
          <w:trHeight w:val="397"/>
        </w:trPr>
        <w:tc>
          <w:tcPr>
            <w:tcW w:w="3118" w:type="dxa"/>
            <w:shd w:val="clear" w:color="auto" w:fill="F2F2F2" w:themeFill="background1" w:themeFillShade="F2"/>
            <w:vAlign w:val="center"/>
          </w:tcPr>
          <w:p w:rsidR="007D4A93" w:rsidRPr="00654E3B" w:rsidRDefault="00EF0BEB">
            <w:pPr>
              <w:spacing w:line="240" w:lineRule="auto"/>
              <w:jc w:val="left"/>
              <w:rPr>
                <w:rFonts w:cs="Times New Roman"/>
                <w:b/>
              </w:rPr>
            </w:pPr>
            <w:r w:rsidRPr="00654E3B">
              <w:rPr>
                <w:rFonts w:cs="Times New Roman"/>
                <w:b/>
              </w:rPr>
              <w:t>Korekcija povijesnih cijena EUR'15/t CO</w:t>
            </w:r>
            <w:r w:rsidRPr="00654E3B">
              <w:rPr>
                <w:rFonts w:cs="Times New Roman"/>
                <w:b/>
                <w:vertAlign w:val="subscript"/>
              </w:rPr>
              <w:t>2</w:t>
            </w:r>
            <w:r w:rsidRPr="00654E3B">
              <w:rPr>
                <w:rFonts w:cs="Times New Roman"/>
                <w:b/>
              </w:rPr>
              <w:t>e</w:t>
            </w:r>
          </w:p>
        </w:tc>
        <w:tc>
          <w:tcPr>
            <w:tcW w:w="850" w:type="dxa"/>
            <w:vAlign w:val="center"/>
          </w:tcPr>
          <w:p w:rsidR="007D4A93" w:rsidRPr="00654E3B" w:rsidRDefault="00EF0BEB">
            <w:pPr>
              <w:spacing w:line="240" w:lineRule="auto"/>
              <w:jc w:val="center"/>
              <w:rPr>
                <w:rFonts w:cs="Times New Roman"/>
              </w:rPr>
            </w:pPr>
            <w:r w:rsidRPr="00654E3B">
              <w:rPr>
                <w:rFonts w:cs="Times New Roman"/>
              </w:rPr>
              <w:t>7,7</w:t>
            </w:r>
          </w:p>
        </w:tc>
        <w:tc>
          <w:tcPr>
            <w:tcW w:w="850" w:type="dxa"/>
            <w:vAlign w:val="center"/>
          </w:tcPr>
          <w:p w:rsidR="007D4A93" w:rsidRPr="00654E3B" w:rsidRDefault="00EF0BEB">
            <w:pPr>
              <w:spacing w:line="240" w:lineRule="auto"/>
              <w:jc w:val="center"/>
              <w:rPr>
                <w:rFonts w:cs="Times New Roman"/>
              </w:rPr>
            </w:pPr>
            <w:r w:rsidRPr="00654E3B">
              <w:rPr>
                <w:rFonts w:cs="Times New Roman"/>
              </w:rPr>
              <w:t>25,6</w:t>
            </w:r>
          </w:p>
        </w:tc>
        <w:tc>
          <w:tcPr>
            <w:tcW w:w="850" w:type="dxa"/>
            <w:vAlign w:val="center"/>
          </w:tcPr>
          <w:p w:rsidR="007D4A93" w:rsidRPr="00654E3B" w:rsidRDefault="00EF0BEB">
            <w:pPr>
              <w:spacing w:line="240" w:lineRule="auto"/>
              <w:jc w:val="center"/>
              <w:rPr>
                <w:rFonts w:cs="Times New Roman"/>
              </w:rPr>
            </w:pPr>
            <w:r w:rsidRPr="00654E3B">
              <w:rPr>
                <w:rFonts w:cs="Times New Roman"/>
              </w:rPr>
              <w:t>29,9</w:t>
            </w:r>
          </w:p>
        </w:tc>
        <w:tc>
          <w:tcPr>
            <w:tcW w:w="850" w:type="dxa"/>
            <w:vAlign w:val="center"/>
          </w:tcPr>
          <w:p w:rsidR="007D4A93" w:rsidRPr="00654E3B" w:rsidRDefault="00EF0BEB">
            <w:pPr>
              <w:spacing w:line="240" w:lineRule="auto"/>
              <w:jc w:val="center"/>
              <w:rPr>
                <w:rFonts w:cs="Times New Roman"/>
              </w:rPr>
            </w:pPr>
            <w:r w:rsidRPr="00654E3B">
              <w:rPr>
                <w:rFonts w:cs="Times New Roman"/>
              </w:rPr>
              <w:t>34,3</w:t>
            </w:r>
          </w:p>
        </w:tc>
        <w:tc>
          <w:tcPr>
            <w:tcW w:w="850" w:type="dxa"/>
            <w:vAlign w:val="center"/>
          </w:tcPr>
          <w:p w:rsidR="007D4A93" w:rsidRPr="00654E3B" w:rsidRDefault="00EF0BEB">
            <w:pPr>
              <w:spacing w:line="240" w:lineRule="auto"/>
              <w:jc w:val="center"/>
              <w:rPr>
                <w:rFonts w:cs="Times New Roman"/>
              </w:rPr>
            </w:pPr>
            <w:r w:rsidRPr="00654E3B">
              <w:rPr>
                <w:rFonts w:cs="Times New Roman"/>
              </w:rPr>
              <w:t>43,0</w:t>
            </w:r>
          </w:p>
        </w:tc>
        <w:tc>
          <w:tcPr>
            <w:tcW w:w="850" w:type="dxa"/>
            <w:vAlign w:val="center"/>
          </w:tcPr>
          <w:p w:rsidR="007D4A93" w:rsidRPr="00654E3B" w:rsidRDefault="00EF0BEB">
            <w:pPr>
              <w:spacing w:line="240" w:lineRule="auto"/>
              <w:jc w:val="center"/>
              <w:rPr>
                <w:rFonts w:cs="Times New Roman"/>
              </w:rPr>
            </w:pPr>
            <w:r w:rsidRPr="00654E3B">
              <w:rPr>
                <w:rFonts w:cs="Times New Roman"/>
              </w:rPr>
              <w:t>51,1</w:t>
            </w:r>
          </w:p>
        </w:tc>
        <w:tc>
          <w:tcPr>
            <w:tcW w:w="850" w:type="dxa"/>
            <w:vAlign w:val="center"/>
          </w:tcPr>
          <w:p w:rsidR="007D4A93" w:rsidRPr="00654E3B" w:rsidRDefault="00EF0BEB">
            <w:pPr>
              <w:spacing w:line="240" w:lineRule="auto"/>
              <w:jc w:val="center"/>
              <w:rPr>
                <w:rFonts w:cs="Times New Roman"/>
              </w:rPr>
            </w:pPr>
            <w:r w:rsidRPr="00654E3B">
              <w:rPr>
                <w:rFonts w:cs="Times New Roman"/>
              </w:rPr>
              <w:t>92,1</w:t>
            </w:r>
          </w:p>
        </w:tc>
      </w:tr>
    </w:tbl>
    <w:p w:rsidR="00AB40C9" w:rsidRPr="00654E3B" w:rsidRDefault="00AB40C9" w:rsidP="00AB40C9">
      <w:pPr>
        <w:rPr>
          <w:rFonts w:cs="Times New Roman"/>
        </w:rPr>
      </w:pPr>
      <w:bookmarkStart w:id="203" w:name="_Toc20841300"/>
      <w:bookmarkStart w:id="204" w:name="_Toc20841406"/>
    </w:p>
    <w:p w:rsidR="007D4A93" w:rsidRPr="00654E3B" w:rsidRDefault="00EF0BEB" w:rsidP="009F6651">
      <w:pPr>
        <w:pStyle w:val="Heading3"/>
      </w:pPr>
      <w:bookmarkStart w:id="205" w:name="_Toc69810160"/>
      <w:r w:rsidRPr="00654E3B">
        <w:t>3.3.2.</w:t>
      </w:r>
      <w:r w:rsidRPr="00654E3B">
        <w:tab/>
        <w:t>Utvrđivanje scenarija</w:t>
      </w:r>
      <w:bookmarkEnd w:id="205"/>
    </w:p>
    <w:p w:rsidR="007D4A93" w:rsidRPr="00654E3B" w:rsidRDefault="007D4A93">
      <w:pPr>
        <w:rPr>
          <w:rFonts w:cs="Times New Roman"/>
        </w:rPr>
      </w:pPr>
    </w:p>
    <w:p w:rsidR="007D4A93" w:rsidRPr="00654E3B" w:rsidRDefault="00EF0BEB">
      <w:pPr>
        <w:rPr>
          <w:rFonts w:cs="Times New Roman"/>
        </w:rPr>
      </w:pPr>
      <w:r w:rsidRPr="00654E3B">
        <w:rPr>
          <w:rFonts w:cs="Times New Roman"/>
        </w:rPr>
        <w:t>Veliki broj čimbenika određuje konstrukciju i odabir scenarija, ovdje se navode neki važniji:</w:t>
      </w:r>
    </w:p>
    <w:p w:rsidR="007D4A93" w:rsidRPr="00654E3B" w:rsidRDefault="00EF0BEB" w:rsidP="000C6795">
      <w:pPr>
        <w:pStyle w:val="ListParagraph"/>
        <w:numPr>
          <w:ilvl w:val="0"/>
          <w:numId w:val="15"/>
        </w:numPr>
        <w:rPr>
          <w:rFonts w:cs="Times New Roman"/>
        </w:rPr>
      </w:pPr>
      <w:r w:rsidRPr="00654E3B">
        <w:rPr>
          <w:rFonts w:cs="Times New Roman"/>
        </w:rPr>
        <w:t>nužnost kompatibilnosti s postojećim trendovima i politikom</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 xml:space="preserve">postizanje ciljeva koje </w:t>
      </w:r>
      <w:r w:rsidR="00A70575" w:rsidRPr="00654E3B">
        <w:rPr>
          <w:rFonts w:cs="Times New Roman"/>
        </w:rPr>
        <w:t xml:space="preserve">EU </w:t>
      </w:r>
      <w:r w:rsidRPr="00654E3B">
        <w:rPr>
          <w:rFonts w:cs="Times New Roman"/>
        </w:rPr>
        <w:t xml:space="preserve">postavlja </w:t>
      </w:r>
      <w:r w:rsidR="00A70575" w:rsidRPr="00654E3B">
        <w:rPr>
          <w:rFonts w:cs="Times New Roman"/>
        </w:rPr>
        <w:t>z</w:t>
      </w:r>
      <w:r w:rsidRPr="00654E3B">
        <w:rPr>
          <w:rFonts w:cs="Times New Roman"/>
        </w:rPr>
        <w:t>a pojedine</w:t>
      </w:r>
      <w:r w:rsidR="00A70575" w:rsidRPr="00654E3B">
        <w:rPr>
          <w:rFonts w:cs="Times New Roman"/>
        </w:rPr>
        <w:t xml:space="preserve"> države</w:t>
      </w:r>
      <w:r w:rsidRPr="00654E3B">
        <w:rPr>
          <w:rFonts w:cs="Times New Roman"/>
        </w:rPr>
        <w:t xml:space="preserve"> članice: ukupnog cilja smanjenj</w:t>
      </w:r>
      <w:r w:rsidR="00A70575" w:rsidRPr="00654E3B">
        <w:rPr>
          <w:rFonts w:cs="Times New Roman"/>
        </w:rPr>
        <w:t>a</w:t>
      </w:r>
      <w:r w:rsidRPr="00654E3B">
        <w:rPr>
          <w:rFonts w:cs="Times New Roman"/>
        </w:rPr>
        <w:t xml:space="preserve"> emisij</w:t>
      </w:r>
      <w:r w:rsidR="00A70575" w:rsidRPr="00654E3B">
        <w:rPr>
          <w:rFonts w:cs="Times New Roman"/>
        </w:rPr>
        <w:t>a</w:t>
      </w:r>
      <w:r w:rsidRPr="00654E3B">
        <w:rPr>
          <w:rFonts w:cs="Times New Roman"/>
        </w:rPr>
        <w:t>, smanjenje emisij</w:t>
      </w:r>
      <w:r w:rsidR="00A70575" w:rsidRPr="00654E3B">
        <w:rPr>
          <w:rFonts w:cs="Times New Roman"/>
        </w:rPr>
        <w:t>a</w:t>
      </w:r>
      <w:r w:rsidRPr="00654E3B">
        <w:rPr>
          <w:rFonts w:cs="Times New Roman"/>
        </w:rPr>
        <w:t xml:space="preserve"> u sektorima izvan ETS-a, udio obnovljivih izvora energije i energetske učinkovitosti</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nacionalni ciljevi iz važećih strategija i planova po sektorima</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raspoloživost tehnologija</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troškovi i koristi</w:t>
      </w:r>
      <w:r w:rsidR="007D716D" w:rsidRPr="00654E3B">
        <w:rPr>
          <w:rFonts w:cs="Times New Roman"/>
        </w:rPr>
        <w:t>;</w:t>
      </w:r>
    </w:p>
    <w:p w:rsidR="007D4A93" w:rsidRPr="00654E3B" w:rsidRDefault="00EF0BEB" w:rsidP="000C6795">
      <w:pPr>
        <w:pStyle w:val="ListParagraph"/>
        <w:numPr>
          <w:ilvl w:val="0"/>
          <w:numId w:val="15"/>
        </w:numPr>
        <w:rPr>
          <w:rFonts w:cs="Times New Roman"/>
        </w:rPr>
      </w:pPr>
      <w:r w:rsidRPr="00654E3B">
        <w:rPr>
          <w:rFonts w:cs="Times New Roman"/>
        </w:rPr>
        <w:t>ispunjenje cilja sigurnosti opskrbe energijom i jačanje gospodarstva, te ostalih ciljeva koji su utvrđeni u Poglavlju 1.2. ove Strategije.</w:t>
      </w:r>
    </w:p>
    <w:p w:rsidR="007D4A93" w:rsidRPr="00654E3B" w:rsidRDefault="00EF0BEB">
      <w:pPr>
        <w:rPr>
          <w:rFonts w:cs="Times New Roman"/>
        </w:rPr>
      </w:pPr>
      <w:r w:rsidRPr="00654E3B">
        <w:rPr>
          <w:rFonts w:cs="Times New Roman"/>
        </w:rPr>
        <w:t>Scenariji predstavljaju kombinacije različitih mjera s različitom 'dubinom' primjene pojedinih mjera. U scenarijima, za razdoblje do 2030. godine okvir je provedbeno jasniji, a nakon 2030. godine mnogo je otvorenih pitanja i pretpostavki. Rezultate koji se odnose na razdoblje nakon 2030. godine treba prihvatiti kroz takvu prizmu promatranja.</w:t>
      </w:r>
    </w:p>
    <w:p w:rsidR="007D4A93" w:rsidRPr="00654E3B" w:rsidRDefault="00EF0BEB">
      <w:pPr>
        <w:rPr>
          <w:rFonts w:cs="Times New Roman"/>
        </w:rPr>
      </w:pPr>
      <w:r w:rsidRPr="00654E3B">
        <w:rPr>
          <w:rFonts w:cs="Times New Roman"/>
        </w:rPr>
        <w:t xml:space="preserve">U nastavku se prikazuju tri scenarija koji predstavljaju sintezu niza analiziranih scenarija, odnosno prezentiraju širi raspon njima bliskih scenarija, to su: </w:t>
      </w:r>
      <w:r w:rsidRPr="00654E3B">
        <w:rPr>
          <w:rFonts w:cs="Times New Roman"/>
          <w:b/>
        </w:rPr>
        <w:t>referentni scenarij (NUR), scenarij postupne tranzicije (NU1) i scenarij snažne tranzicije (NU2)</w:t>
      </w:r>
      <w:r w:rsidRPr="00654E3B">
        <w:rPr>
          <w:rFonts w:cs="Times New Roman"/>
        </w:rPr>
        <w:t xml:space="preserve">. Prema uobičajenom obilježavanju, na način kako se izvještava za potrebe UNFCCC-a, ovdje utvrđeni referentni scenarij pripada kategoriji scenarija 's mjerama' (eng. </w:t>
      </w:r>
      <w:r w:rsidRPr="00654E3B">
        <w:rPr>
          <w:rFonts w:cs="Times New Roman"/>
          <w:i/>
        </w:rPr>
        <w:t>With Existing Measures – WEM</w:t>
      </w:r>
      <w:r w:rsidRPr="00654E3B">
        <w:rPr>
          <w:rFonts w:cs="Times New Roman"/>
        </w:rPr>
        <w:t xml:space="preserve">), a scenariji postupne i snažne tranzicije pripadaju kategoriji scenarija 's dodatnim mjerama' (eng. </w:t>
      </w:r>
      <w:r w:rsidRPr="00654E3B">
        <w:rPr>
          <w:rFonts w:cs="Times New Roman"/>
          <w:i/>
        </w:rPr>
        <w:t>With Additional Measures – WAM</w:t>
      </w:r>
      <w:r w:rsidRPr="00654E3B">
        <w:rPr>
          <w:rFonts w:cs="Times New Roman"/>
        </w:rPr>
        <w:t>).  Na slici 3-3 prikazani su odnosi među scenarijima, shematski veličina kruga približno predstavlja emisiju u 2016. i 2050. godini.</w:t>
      </w:r>
    </w:p>
    <w:p w:rsidR="007D4A93" w:rsidRPr="00F01191" w:rsidRDefault="00EF0BEB">
      <w:pPr>
        <w:pStyle w:val="Slika"/>
        <w:spacing w:before="120"/>
        <w:jc w:val="center"/>
        <w:rPr>
          <w:rFonts w:ascii="Times New Roman" w:eastAsia="Calibri" w:hAnsi="Times New Roman"/>
        </w:rPr>
      </w:pPr>
      <w:bookmarkStart w:id="206" w:name="_Toc484158370"/>
      <w:bookmarkStart w:id="207" w:name="_Toc33417101"/>
      <w:r w:rsidRPr="00F01191">
        <w:rPr>
          <w:rFonts w:ascii="Times New Roman" w:eastAsia="Calibri" w:hAnsi="Times New Roman"/>
          <w:noProof/>
          <w:lang w:val="en-US"/>
        </w:rPr>
        <w:drawing>
          <wp:inline distT="0" distB="0" distL="0" distR="0" wp14:anchorId="1B88805E" wp14:editId="5EB163D9">
            <wp:extent cx="3657917" cy="1774090"/>
            <wp:effectExtent l="0" t="0" r="0" b="0"/>
            <wp:docPr id="11"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2.png"/>
                    <pic:cNvPicPr>
                      <a:picLocks noChangeAspect="1"/>
                    </pic:cNvPicPr>
                  </pic:nvPicPr>
                  <pic:blipFill>
                    <a:blip r:embed="rId19"/>
                    <a:stretch/>
                  </pic:blipFill>
                  <pic:spPr bwMode="auto">
                    <a:xfrm>
                      <a:off x="0" y="0"/>
                      <a:ext cx="3657916" cy="1774090"/>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eastAsia="Calibri" w:hAnsi="Times New Roman"/>
          <w:i/>
        </w:rPr>
        <w:lastRenderedPageBreak/>
        <w:t>Slika 3-3: Niskougljični scenariji NU1 i NU2</w:t>
      </w:r>
      <w:bookmarkEnd w:id="206"/>
      <w:bookmarkEnd w:id="207"/>
    </w:p>
    <w:p w:rsidR="007D4A93" w:rsidRPr="00654E3B" w:rsidRDefault="00EF0BEB">
      <w:pPr>
        <w:rPr>
          <w:rFonts w:cs="Times New Roman"/>
        </w:rPr>
      </w:pPr>
      <w:r w:rsidRPr="00654E3B">
        <w:rPr>
          <w:rFonts w:cs="Times New Roman"/>
          <w:b/>
        </w:rPr>
        <w:t>Referentni scenarij NUR</w:t>
      </w:r>
      <w:r w:rsidRPr="00654E3B">
        <w:rPr>
          <w:rFonts w:cs="Times New Roman"/>
        </w:rPr>
        <w:t xml:space="preserve"> uključuje postojeći pravni okvir Republike Hrvatske i usvojen pravni okvir EU te simulaciju mjera koje bi se ostvarile tehnološkim napretkom bez politika ublažavanja klimatskih promjena. Referentni scenarij </w:t>
      </w:r>
      <w:r w:rsidRPr="00654E3B">
        <w:rPr>
          <w:rFonts w:cs="Times New Roman"/>
          <w:u w:val="single"/>
        </w:rPr>
        <w:t>nije scenarij 'zamrznutog stanja'</w:t>
      </w:r>
      <w:r w:rsidRPr="00654E3B">
        <w:rPr>
          <w:rFonts w:cs="Times New Roman"/>
        </w:rPr>
        <w:t xml:space="preserve">, već pretpostavlja razvoj tehnologija i njihovo korištenje. U odnosu na niskougljične scenarije za dostizanje ciljeva, to je scenarij s </w:t>
      </w:r>
      <w:r w:rsidR="00982D90" w:rsidRPr="00654E3B">
        <w:rPr>
          <w:rFonts w:cs="Times New Roman"/>
        </w:rPr>
        <w:t xml:space="preserve">blažim povećanjem udjela </w:t>
      </w:r>
      <w:r w:rsidRPr="00654E3B">
        <w:rPr>
          <w:rFonts w:cs="Times New Roman"/>
        </w:rPr>
        <w:t>obnovljivih izvora energije i energetske učinkovitosti zbog odsustva snažne poticajne politike niskougljičnih rješenja, osobito potrebnih nakon 2030. godine. Strategije, planovi i programi koji su doneseni, a još ih ne prate provedbeni propisi, nisu uključeni u referentni scenarij. Scenarij se u svom energetskom dijelu temelji na scenariju S0 iz Energetske strategije. Kompletan opis mjera nalazi se u Prilogu I ove Strategije.</w:t>
      </w:r>
    </w:p>
    <w:p w:rsidR="007D4A93" w:rsidRPr="00654E3B" w:rsidRDefault="00EF0BEB">
      <w:pPr>
        <w:rPr>
          <w:rFonts w:cs="Times New Roman"/>
        </w:rPr>
      </w:pPr>
      <w:r w:rsidRPr="00654E3B">
        <w:rPr>
          <w:rFonts w:cs="Times New Roman"/>
          <w:b/>
        </w:rPr>
        <w:t>Scenarij postupne tranzicije NU1</w:t>
      </w:r>
      <w:r w:rsidRPr="00654E3B">
        <w:rPr>
          <w:rFonts w:cs="Times New Roman"/>
        </w:rPr>
        <w:t xml:space="preserve"> dimenzioniran </w:t>
      </w:r>
      <w:r w:rsidR="007D716D" w:rsidRPr="00654E3B">
        <w:rPr>
          <w:rFonts w:cs="Times New Roman"/>
        </w:rPr>
        <w:t xml:space="preserve">je </w:t>
      </w:r>
      <w:r w:rsidRPr="00654E3B">
        <w:rPr>
          <w:rFonts w:cs="Times New Roman"/>
        </w:rPr>
        <w:t>tako da se sigurno ispune ciljevi smanjenja emisije</w:t>
      </w:r>
      <w:r w:rsidR="007D716D" w:rsidRPr="00654E3B">
        <w:rPr>
          <w:rFonts w:cs="Times New Roman"/>
        </w:rPr>
        <w:t>,</w:t>
      </w:r>
      <w:r w:rsidRPr="00654E3B">
        <w:rPr>
          <w:rFonts w:cs="Times New Roman"/>
        </w:rPr>
        <w:t xml:space="preserve"> koj</w:t>
      </w:r>
      <w:r w:rsidR="004328E1" w:rsidRPr="00654E3B">
        <w:rPr>
          <w:rFonts w:cs="Times New Roman"/>
        </w:rPr>
        <w:t>i</w:t>
      </w:r>
      <w:r w:rsidRPr="00654E3B">
        <w:rPr>
          <w:rFonts w:cs="Times New Roman"/>
        </w:rPr>
        <w:t xml:space="preserve"> bi mogli biti obveza u okviru interne sheme obveza EU i s tim u vezi ciljevi međunarodnog dugoročnog dogovora da se porast temperature održi unutar 2°C, a po mogućnosti i unutar 1,5°C. U ovom scenariju smanjenje emisije se postiže primjenom niza troškovno učinkovitih mjera, snažnim poticanjem energetske učinkovitosti i primjeni obnovljivih izvora energije koji bi, u proizvodnji električne energije, nakon 2030. godine mogli velikim dijelom biti potpuno tržišno konkurentni. Scenarij pretpostavlja snažan rast cijena </w:t>
      </w:r>
      <w:r w:rsidR="002A48C9" w:rsidRPr="00654E3B">
        <w:rPr>
          <w:rFonts w:cs="Times New Roman"/>
        </w:rPr>
        <w:t>emisijskih jedinica</w:t>
      </w:r>
      <w:r w:rsidRPr="00654E3B">
        <w:rPr>
          <w:rFonts w:cs="Times New Roman"/>
        </w:rPr>
        <w:t>, do 92,1 EUR/t CO</w:t>
      </w:r>
      <w:r w:rsidRPr="00654E3B">
        <w:rPr>
          <w:rFonts w:cs="Times New Roman"/>
          <w:vertAlign w:val="subscript"/>
        </w:rPr>
        <w:t>2</w:t>
      </w:r>
      <w:r w:rsidRPr="00654E3B">
        <w:rPr>
          <w:rFonts w:cs="Times New Roman"/>
        </w:rPr>
        <w:t xml:space="preserve"> u 2050. godini, što je glavni pokretač tranzicije. Scenarij se u svom energetskom dijelu temelji na scenariju S2 iz Energetske strategije.</w:t>
      </w:r>
    </w:p>
    <w:p w:rsidR="007D4A93" w:rsidRPr="00654E3B" w:rsidRDefault="00EF0BEB">
      <w:pPr>
        <w:rPr>
          <w:rFonts w:cs="Times New Roman"/>
        </w:rPr>
      </w:pPr>
      <w:r w:rsidRPr="00654E3B">
        <w:rPr>
          <w:rFonts w:cs="Times New Roman"/>
          <w:b/>
        </w:rPr>
        <w:t>Scenarij snažne tranzicije NU2</w:t>
      </w:r>
      <w:r w:rsidRPr="00654E3B">
        <w:rPr>
          <w:rFonts w:cs="Times New Roman"/>
        </w:rPr>
        <w:t xml:space="preserve"> je dimenzioniran s ciljem da se u 2050. godini postigne smanjenje emisije</w:t>
      </w:r>
      <w:r w:rsidR="004328E1" w:rsidRPr="00654E3B">
        <w:rPr>
          <w:rFonts w:cs="Times New Roman"/>
        </w:rPr>
        <w:t xml:space="preserve"> za</w:t>
      </w:r>
      <w:r w:rsidRPr="00654E3B">
        <w:rPr>
          <w:rFonts w:cs="Times New Roman"/>
        </w:rPr>
        <w:t xml:space="preserve"> 80</w:t>
      </w:r>
      <w:r w:rsidR="00060992" w:rsidRPr="00654E3B">
        <w:rPr>
          <w:rFonts w:cs="Times New Roman"/>
        </w:rPr>
        <w:t xml:space="preserve"> %</w:t>
      </w:r>
      <w:r w:rsidRPr="00654E3B">
        <w:rPr>
          <w:rFonts w:cs="Times New Roman"/>
        </w:rPr>
        <w:t xml:space="preserve"> u odnosu na 1990. godinu. U ovom scenariju kao i u NU1 pretpostavlja se snažan porast cijena </w:t>
      </w:r>
      <w:r w:rsidR="002A48C9" w:rsidRPr="00654E3B">
        <w:rPr>
          <w:rFonts w:cs="Times New Roman"/>
        </w:rPr>
        <w:t>emisijskih jedinica</w:t>
      </w:r>
      <w:r w:rsidR="002A48C9" w:rsidRPr="00654E3B">
        <w:rPr>
          <w:rFonts w:cs="Times New Roman"/>
          <w:vertAlign w:val="subscript"/>
        </w:rPr>
        <w:t xml:space="preserve"> </w:t>
      </w:r>
      <w:r w:rsidRPr="00654E3B">
        <w:rPr>
          <w:rFonts w:cs="Times New Roman"/>
        </w:rPr>
        <w:t>do 92,1 EUR/t CO</w:t>
      </w:r>
      <w:r w:rsidRPr="00654E3B">
        <w:rPr>
          <w:rFonts w:cs="Times New Roman"/>
          <w:vertAlign w:val="subscript"/>
        </w:rPr>
        <w:t>2</w:t>
      </w:r>
      <w:r w:rsidRPr="00654E3B">
        <w:rPr>
          <w:rFonts w:cs="Times New Roman"/>
        </w:rPr>
        <w:t xml:space="preserve"> u 2050. godini te vrlo snažne mjere energetske učinkovitosti. Scenarij se u svom energetskom dijelu temelji na scenariju S1 iz Energetske strategije.</w:t>
      </w:r>
    </w:p>
    <w:p w:rsidR="007D4A93" w:rsidRPr="00654E3B" w:rsidRDefault="00EF0BEB" w:rsidP="004C7797">
      <w:pPr>
        <w:rPr>
          <w:rFonts w:cs="Times New Roman"/>
        </w:rPr>
      </w:pPr>
      <w:r w:rsidRPr="00654E3B">
        <w:rPr>
          <w:rFonts w:cs="Times New Roman"/>
          <w:b/>
        </w:rPr>
        <w:t>Scenarij neto nulte emisije</w:t>
      </w:r>
      <w:r w:rsidR="00AA755C" w:rsidRPr="00654E3B">
        <w:rPr>
          <w:rFonts w:cs="Times New Roman"/>
          <w:b/>
        </w:rPr>
        <w:t xml:space="preserve"> </w:t>
      </w:r>
      <w:r w:rsidR="00AA755C" w:rsidRPr="00654E3B">
        <w:rPr>
          <w:rFonts w:cs="Times New Roman"/>
        </w:rPr>
        <w:t xml:space="preserve">je u ovom dokumentu uključen u obliku informacije </w:t>
      </w:r>
      <w:r w:rsidRPr="00654E3B">
        <w:rPr>
          <w:rFonts w:cs="Times New Roman"/>
        </w:rPr>
        <w:t xml:space="preserve">jer su političke odluke na razini EU u tom smjeru donesene nedavno. Krajem 2018. godine usvojen je dokument </w:t>
      </w:r>
      <w:r w:rsidRPr="00654E3B">
        <w:rPr>
          <w:rFonts w:cs="Times New Roman"/>
          <w:i/>
        </w:rPr>
        <w:t>Čist planet za sve - Europska strateška dugoročna vizija za perspektivno, moderno, konkurentno i klimatski neutralno gospodarstvo</w:t>
      </w:r>
      <w:r w:rsidRPr="00654E3B">
        <w:rPr>
          <w:rFonts w:cs="Times New Roman"/>
        </w:rPr>
        <w:t>. Svrha je ove dugoročne strategije potvrditi vodeću ulogu Europe u oblikovanju globalne klimatske politike te predstaviti viziju koja može pomoći da se do 2050. godine</w:t>
      </w:r>
      <w:r w:rsidR="007D716D" w:rsidRPr="00654E3B">
        <w:rPr>
          <w:rFonts w:cs="Times New Roman"/>
        </w:rPr>
        <w:t>,</w:t>
      </w:r>
      <w:r w:rsidRPr="00654E3B">
        <w:rPr>
          <w:rFonts w:cs="Times New Roman"/>
        </w:rPr>
        <w:t xml:space="preserve"> na troškovno učinkovit način i putem društveno pravedne tranzicije postigne neto nulta stopa emisija stakleničkih plinova. Krajem 2019. godine EU postavlja novi strateški okvir - </w:t>
      </w:r>
      <w:r w:rsidRPr="00654E3B">
        <w:rPr>
          <w:rFonts w:cs="Times New Roman"/>
          <w:i/>
        </w:rPr>
        <w:t>Europski zeleni plan</w:t>
      </w:r>
      <w:r w:rsidRPr="00654E3B">
        <w:rPr>
          <w:rFonts w:cs="Times New Roman"/>
        </w:rPr>
        <w:t xml:space="preserve"> kojim se gospodarski napredak temelji na klimatski neutralnom gospodarstvu do 2050. godine</w:t>
      </w:r>
      <w:r w:rsidR="00781BDB" w:rsidRPr="00654E3B">
        <w:rPr>
          <w:rFonts w:cs="Times New Roman"/>
        </w:rPr>
        <w:t>.</w:t>
      </w:r>
      <w:r w:rsidR="00AA755C" w:rsidRPr="00654E3B">
        <w:rPr>
          <w:rFonts w:cs="Times New Roman"/>
        </w:rPr>
        <w:t xml:space="preserve"> Krajem 2020. godine usvojen je </w:t>
      </w:r>
      <w:r w:rsidR="00781BDB" w:rsidRPr="00654E3B">
        <w:rPr>
          <w:rFonts w:cs="Times New Roman"/>
        </w:rPr>
        <w:t>novi cilj</w:t>
      </w:r>
      <w:r w:rsidRPr="00654E3B">
        <w:rPr>
          <w:rFonts w:cs="Times New Roman"/>
        </w:rPr>
        <w:t xml:space="preserve"> EU do 2030.</w:t>
      </w:r>
      <w:r w:rsidR="007D716D" w:rsidRPr="00654E3B">
        <w:rPr>
          <w:rFonts w:cs="Times New Roman"/>
        </w:rPr>
        <w:t>,</w:t>
      </w:r>
      <w:r w:rsidRPr="00654E3B">
        <w:rPr>
          <w:rFonts w:cs="Times New Roman"/>
        </w:rPr>
        <w:t xml:space="preserve"> </w:t>
      </w:r>
      <w:r w:rsidR="00781BDB" w:rsidRPr="00654E3B">
        <w:rPr>
          <w:rFonts w:cs="Times New Roman"/>
        </w:rPr>
        <w:t>smanjenja</w:t>
      </w:r>
      <w:r w:rsidR="004328E1" w:rsidRPr="00654E3B">
        <w:rPr>
          <w:rFonts w:cs="Times New Roman"/>
        </w:rPr>
        <w:t xml:space="preserve"> neto</w:t>
      </w:r>
      <w:r w:rsidRPr="00654E3B">
        <w:rPr>
          <w:rFonts w:cs="Times New Roman"/>
        </w:rPr>
        <w:t xml:space="preserve"> emisij</w:t>
      </w:r>
      <w:r w:rsidR="00781BDB" w:rsidRPr="00654E3B">
        <w:rPr>
          <w:rFonts w:cs="Times New Roman"/>
        </w:rPr>
        <w:t>a</w:t>
      </w:r>
      <w:r w:rsidRPr="00654E3B">
        <w:rPr>
          <w:rFonts w:cs="Times New Roman"/>
        </w:rPr>
        <w:t xml:space="preserve"> za 55</w:t>
      </w:r>
      <w:r w:rsidR="00060992" w:rsidRPr="00654E3B">
        <w:rPr>
          <w:rFonts w:cs="Times New Roman"/>
        </w:rPr>
        <w:t xml:space="preserve"> %</w:t>
      </w:r>
      <w:r w:rsidRPr="00654E3B">
        <w:rPr>
          <w:rFonts w:cs="Times New Roman"/>
        </w:rPr>
        <w:t xml:space="preserve"> u odnosu na 1990. godinu</w:t>
      </w:r>
      <w:r w:rsidR="00781BDB" w:rsidRPr="00654E3B">
        <w:rPr>
          <w:rFonts w:cs="Times New Roman"/>
        </w:rPr>
        <w:t>.</w:t>
      </w:r>
      <w:r w:rsidRPr="00654E3B">
        <w:rPr>
          <w:rFonts w:cs="Times New Roman"/>
        </w:rPr>
        <w:t xml:space="preserve"> U narednim godinama kroz intenzivne analize i rasprave</w:t>
      </w:r>
      <w:r w:rsidR="007D716D" w:rsidRPr="00654E3B">
        <w:rPr>
          <w:rFonts w:cs="Times New Roman"/>
        </w:rPr>
        <w:t>,</w:t>
      </w:r>
      <w:r w:rsidRPr="00654E3B">
        <w:rPr>
          <w:rFonts w:cs="Times New Roman"/>
        </w:rPr>
        <w:t xml:space="preserve"> države članice analizirat će moguće scenarije neto nulte emisije do 2050. godine</w:t>
      </w:r>
      <w:r w:rsidR="004328E1" w:rsidRPr="00654E3B">
        <w:rPr>
          <w:rFonts w:cs="Times New Roman"/>
        </w:rPr>
        <w:t xml:space="preserve">, </w:t>
      </w:r>
      <w:r w:rsidRPr="00654E3B">
        <w:rPr>
          <w:rFonts w:cs="Times New Roman"/>
        </w:rPr>
        <w:t>revidirati</w:t>
      </w:r>
      <w:r w:rsidR="004328E1" w:rsidRPr="00654E3B">
        <w:rPr>
          <w:rFonts w:cs="Times New Roman"/>
        </w:rPr>
        <w:t xml:space="preserve"> ciljeve do 2030. godine, kao i</w:t>
      </w:r>
      <w:r w:rsidRPr="00654E3B">
        <w:rPr>
          <w:rFonts w:cs="Times New Roman"/>
        </w:rPr>
        <w:t xml:space="preserve"> svoje niskougljične strategije, što se odnosi i na Republiku Hrvatsku. </w:t>
      </w:r>
    </w:p>
    <w:p w:rsidR="007D4A93" w:rsidRPr="00654E3B" w:rsidRDefault="00EF0BEB">
      <w:pPr>
        <w:pStyle w:val="Heading1"/>
        <w:rPr>
          <w:rFonts w:ascii="Times New Roman" w:hAnsi="Times New Roman" w:cs="Times New Roman"/>
        </w:rPr>
      </w:pPr>
      <w:bookmarkStart w:id="208" w:name="_Toc69810161"/>
      <w:r w:rsidRPr="00654E3B">
        <w:rPr>
          <w:rFonts w:ascii="Times New Roman" w:hAnsi="Times New Roman" w:cs="Times New Roman"/>
        </w:rPr>
        <w:t>4.</w:t>
      </w:r>
      <w:r w:rsidRPr="00654E3B">
        <w:rPr>
          <w:rFonts w:ascii="Times New Roman" w:hAnsi="Times New Roman" w:cs="Times New Roman"/>
        </w:rPr>
        <w:tab/>
        <w:t>ENERGIJA IZ OBNOVLJIVIH IZVORA</w:t>
      </w:r>
      <w:bookmarkEnd w:id="203"/>
      <w:bookmarkEnd w:id="204"/>
      <w:bookmarkEnd w:id="208"/>
    </w:p>
    <w:p w:rsidR="007D4A93" w:rsidRPr="00654E3B" w:rsidRDefault="007D4A93">
      <w:pPr>
        <w:rPr>
          <w:rFonts w:cs="Times New Roman"/>
        </w:rPr>
      </w:pPr>
    </w:p>
    <w:p w:rsidR="007D4A93" w:rsidRPr="00654E3B" w:rsidRDefault="00EF0BEB">
      <w:pPr>
        <w:rPr>
          <w:rFonts w:cs="Times New Roman"/>
        </w:rPr>
      </w:pPr>
      <w:r w:rsidRPr="00654E3B">
        <w:rPr>
          <w:rFonts w:cs="Times New Roman"/>
        </w:rPr>
        <w:t>U energetskoj politici EU i Energetske unije</w:t>
      </w:r>
      <w:r w:rsidR="00383702" w:rsidRPr="00654E3B">
        <w:rPr>
          <w:rFonts w:cs="Times New Roman"/>
        </w:rPr>
        <w:t>,</w:t>
      </w:r>
      <w:r w:rsidRPr="00654E3B">
        <w:rPr>
          <w:rFonts w:cs="Times New Roman"/>
        </w:rPr>
        <w:t xml:space="preserve"> jedan od glavnih ciljeva je povećanje udjela obnovljivih izvora energije</w:t>
      </w:r>
      <w:r w:rsidR="00383702" w:rsidRPr="00654E3B">
        <w:rPr>
          <w:rFonts w:cs="Times New Roman"/>
        </w:rPr>
        <w:t>,</w:t>
      </w:r>
      <w:r w:rsidRPr="00654E3B">
        <w:rPr>
          <w:rFonts w:cs="Times New Roman"/>
        </w:rPr>
        <w:t xml:space="preserve"> čime se pozitivno utječe na smanjenje ovisnosti o uvozu energenata, smanjenje emisija stakleničkih plinova u proizvodnji električne i toplinske energije, zbrinjavanju organskog otpada, učinkovitom grijanju putem kogeneracijskih postrojenja i otvaranju nove niše u uslužnom i industrijskom sektoru vezanom za tehnološki razvoj postrojenja za korištenje energije iz obnovljivih izvora, što u konačnici doprinosi i povećanoj stopi zaposlenosti.</w:t>
      </w:r>
    </w:p>
    <w:p w:rsidR="007D4A93" w:rsidRPr="00654E3B" w:rsidRDefault="00EF0BEB">
      <w:pPr>
        <w:rPr>
          <w:rFonts w:cs="Times New Roman"/>
        </w:rPr>
      </w:pPr>
      <w:r w:rsidRPr="00654E3B">
        <w:rPr>
          <w:rFonts w:cs="Times New Roman"/>
        </w:rPr>
        <w:t>Nacionalni cilj za energiju iz obnovljivih izvora do 2020. godine</w:t>
      </w:r>
      <w:r w:rsidR="00383702" w:rsidRPr="00654E3B">
        <w:rPr>
          <w:rFonts w:cs="Times New Roman"/>
        </w:rPr>
        <w:t>,</w:t>
      </w:r>
      <w:r w:rsidRPr="00654E3B">
        <w:rPr>
          <w:rFonts w:cs="Times New Roman"/>
        </w:rPr>
        <w:t xml:space="preserve"> utvrđen je Direktivom 2009/28/EK i Ugovorom o pristupanju Republike Hrvatske u EU</w:t>
      </w:r>
      <w:r w:rsidR="00383702" w:rsidRPr="00654E3B">
        <w:rPr>
          <w:rFonts w:cs="Times New Roman"/>
        </w:rPr>
        <w:t>,</w:t>
      </w:r>
      <w:r w:rsidRPr="00654E3B">
        <w:rPr>
          <w:rFonts w:cs="Times New Roman"/>
        </w:rPr>
        <w:t xml:space="preserve"> na 20</w:t>
      </w:r>
      <w:r w:rsidR="00060992" w:rsidRPr="00654E3B">
        <w:rPr>
          <w:rFonts w:cs="Times New Roman"/>
        </w:rPr>
        <w:t xml:space="preserve"> %</w:t>
      </w:r>
      <w:r w:rsidRPr="00654E3B">
        <w:rPr>
          <w:rFonts w:cs="Times New Roman"/>
        </w:rPr>
        <w:t xml:space="preserve"> udjela energije iz obnovljivih izvora u bruto neposrednoj potrošnji energije. Izračun cilja temelji se na udjelu energije iz obnovljivih izvora u bruto neposrednoj potrošnji u 2005. godini</w:t>
      </w:r>
      <w:r w:rsidR="00383702" w:rsidRPr="00654E3B">
        <w:rPr>
          <w:rFonts w:cs="Times New Roman"/>
        </w:rPr>
        <w:t>,</w:t>
      </w:r>
      <w:r w:rsidRPr="00654E3B">
        <w:rPr>
          <w:rFonts w:cs="Times New Roman"/>
        </w:rPr>
        <w:t xml:space="preserve"> koja je prilikom izračuna bila određena kao 12,6</w:t>
      </w:r>
      <w:r w:rsidR="00060992" w:rsidRPr="00654E3B">
        <w:rPr>
          <w:rFonts w:cs="Times New Roman"/>
        </w:rPr>
        <w:t xml:space="preserve"> %</w:t>
      </w:r>
      <w:r w:rsidRPr="00654E3B">
        <w:rPr>
          <w:rFonts w:cs="Times New Roman"/>
        </w:rPr>
        <w:t>. Uslijed korekcija energetske bilance zbog istraživanja o većoj potrošnji biomase u sektoru kućanstva (Državni zavod za statistiku, 2015. godina)</w:t>
      </w:r>
      <w:r w:rsidR="00383702" w:rsidRPr="00654E3B">
        <w:rPr>
          <w:rFonts w:cs="Times New Roman"/>
        </w:rPr>
        <w:t>,</w:t>
      </w:r>
      <w:r w:rsidRPr="00654E3B">
        <w:rPr>
          <w:rFonts w:cs="Times New Roman"/>
        </w:rPr>
        <w:t xml:space="preserve"> promijenjen je i povijesni niz podataka te je prema takvim podacima izračunato da je udio energije iz obnovljivih izvora u 2005. godini iznosio 23,8</w:t>
      </w:r>
      <w:r w:rsidR="00060992" w:rsidRPr="00654E3B">
        <w:rPr>
          <w:rFonts w:cs="Times New Roman"/>
        </w:rPr>
        <w:t xml:space="preserve"> %</w:t>
      </w:r>
      <w:r w:rsidRPr="00654E3B">
        <w:rPr>
          <w:rFonts w:cs="Times New Roman"/>
        </w:rPr>
        <w:t xml:space="preserve">. Na temelju </w:t>
      </w:r>
      <w:r w:rsidRPr="00654E3B">
        <w:rPr>
          <w:rFonts w:cs="Times New Roman"/>
        </w:rPr>
        <w:lastRenderedPageBreak/>
        <w:t xml:space="preserve">korigiranog udjela za energiju iz obnovljivih izvora u 2005. godini, indikativni cilj za udio energije iz obnovljivih izvora u bruto neposrednoj potrošnji energije za Republiku Hrvatsku u 2020. godini iznosio </w:t>
      </w:r>
      <w:r w:rsidR="007E0AD0" w:rsidRPr="00654E3B">
        <w:rPr>
          <w:rFonts w:cs="Times New Roman"/>
        </w:rPr>
        <w:t xml:space="preserve">je </w:t>
      </w:r>
      <w:r w:rsidRPr="00654E3B">
        <w:rPr>
          <w:rFonts w:cs="Times New Roman"/>
        </w:rPr>
        <w:t>28,6</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Okvirom klimatsko-energetske politike EU</w:t>
      </w:r>
      <w:r w:rsidR="00383702" w:rsidRPr="00654E3B">
        <w:rPr>
          <w:rFonts w:cs="Times New Roman"/>
        </w:rPr>
        <w:t>,</w:t>
      </w:r>
      <w:r w:rsidRPr="00654E3B">
        <w:rPr>
          <w:rFonts w:cs="Times New Roman"/>
        </w:rPr>
        <w:t xml:space="preserve"> definiran je zajednički cilj na razini EU do 2030. godine u iznosu od 32</w:t>
      </w:r>
      <w:r w:rsidR="00060992" w:rsidRPr="00654E3B">
        <w:rPr>
          <w:rFonts w:cs="Times New Roman"/>
        </w:rPr>
        <w:t xml:space="preserve"> %</w:t>
      </w:r>
      <w:r w:rsidRPr="00654E3B">
        <w:rPr>
          <w:rFonts w:cs="Times New Roman"/>
        </w:rPr>
        <w:t xml:space="preserve"> udjela energije iz obnovljivih izvora u bruto neposrednoj potrošnji energije. Republika Hrvatska će sukladno preuzetim obvezama</w:t>
      </w:r>
      <w:r w:rsidR="00383702" w:rsidRPr="00654E3B">
        <w:rPr>
          <w:rFonts w:cs="Times New Roman"/>
        </w:rPr>
        <w:t>,</w:t>
      </w:r>
      <w:r w:rsidRPr="00654E3B">
        <w:rPr>
          <w:rFonts w:cs="Times New Roman"/>
        </w:rPr>
        <w:t xml:space="preserve"> težiti ka ostvarenju cilja od 3</w:t>
      </w:r>
      <w:r w:rsidR="004C7797" w:rsidRPr="00654E3B">
        <w:rPr>
          <w:rFonts w:cs="Times New Roman"/>
        </w:rPr>
        <w:t>6,6</w:t>
      </w:r>
      <w:r w:rsidR="00060992" w:rsidRPr="00654E3B">
        <w:rPr>
          <w:rFonts w:cs="Times New Roman"/>
        </w:rPr>
        <w:t xml:space="preserve"> %</w:t>
      </w:r>
      <w:r w:rsidRPr="00654E3B">
        <w:rPr>
          <w:rFonts w:cs="Times New Roman"/>
        </w:rPr>
        <w:t xml:space="preserve"> udjela energije iz obnovljivih izvora u bruto neposrednoj potrošnji energije do 2030. godine</w:t>
      </w:r>
      <w:r w:rsidR="004C7797" w:rsidRPr="00654E3B">
        <w:rPr>
          <w:rFonts w:cs="Times New Roman"/>
        </w:rPr>
        <w:t>.</w:t>
      </w:r>
    </w:p>
    <w:p w:rsidR="007D4A93" w:rsidRPr="00654E3B" w:rsidRDefault="00EF0BEB">
      <w:pPr>
        <w:spacing w:line="280" w:lineRule="exact"/>
        <w:rPr>
          <w:rFonts w:cs="Times New Roman"/>
        </w:rPr>
      </w:pPr>
      <w:r w:rsidRPr="00654E3B">
        <w:rPr>
          <w:rFonts w:cs="Times New Roman"/>
        </w:rPr>
        <w:t>U svim scenarijima udio energije iz obnovljivih izvora se povećava. U razdoblju do 2030. godine</w:t>
      </w:r>
      <w:r w:rsidR="00383702" w:rsidRPr="00654E3B">
        <w:rPr>
          <w:rFonts w:cs="Times New Roman"/>
        </w:rPr>
        <w:t>,</w:t>
      </w:r>
      <w:r w:rsidRPr="00654E3B">
        <w:rPr>
          <w:rFonts w:cs="Times New Roman"/>
        </w:rPr>
        <w:t xml:space="preserve"> očekivani udio energije iz obnovljivih izvora je 36,</w:t>
      </w:r>
      <w:r w:rsidR="002128E5" w:rsidRPr="00654E3B">
        <w:rPr>
          <w:rFonts w:cs="Times New Roman"/>
        </w:rPr>
        <w:t>6</w:t>
      </w:r>
      <w:r w:rsidR="00060992" w:rsidRPr="00654E3B">
        <w:rPr>
          <w:rFonts w:cs="Times New Roman"/>
        </w:rPr>
        <w:t xml:space="preserve"> %</w:t>
      </w:r>
      <w:r w:rsidRPr="00654E3B">
        <w:rPr>
          <w:rFonts w:cs="Times New Roman"/>
        </w:rPr>
        <w:t xml:space="preserve">, što je veći cilj od EU cilja, a što će omogućiti korištenje dodatnih mehanizama iz </w:t>
      </w:r>
      <w:r w:rsidRPr="00654E3B">
        <w:rPr>
          <w:rFonts w:cs="Times New Roman"/>
          <w:szCs w:val="18"/>
        </w:rPr>
        <w:t>uredbe o izmjenama i dopunama Uredbe o uspostavi sustava jamstva podrijetla električne energije (</w:t>
      </w:r>
      <w:r w:rsidR="001C0429" w:rsidRPr="00654E3B">
        <w:rPr>
          <w:rFonts w:cs="Times New Roman"/>
          <w:szCs w:val="18"/>
        </w:rPr>
        <w:t>N</w:t>
      </w:r>
      <w:r w:rsidR="00566C24" w:rsidRPr="00654E3B">
        <w:rPr>
          <w:rFonts w:cs="Times New Roman"/>
          <w:szCs w:val="18"/>
        </w:rPr>
        <w:t>arodne novine</w:t>
      </w:r>
      <w:r w:rsidR="00430F83" w:rsidRPr="00654E3B">
        <w:rPr>
          <w:rFonts w:cs="Times New Roman"/>
          <w:szCs w:val="18"/>
        </w:rPr>
        <w:t>,</w:t>
      </w:r>
      <w:r w:rsidRPr="00654E3B">
        <w:rPr>
          <w:rFonts w:cs="Times New Roman"/>
          <w:szCs w:val="18"/>
        </w:rPr>
        <w:t xml:space="preserve"> </w:t>
      </w:r>
      <w:r w:rsidR="001C0429" w:rsidRPr="00654E3B">
        <w:rPr>
          <w:rFonts w:cs="Times New Roman"/>
          <w:szCs w:val="18"/>
        </w:rPr>
        <w:t xml:space="preserve">broj </w:t>
      </w:r>
      <w:r w:rsidRPr="00654E3B">
        <w:rPr>
          <w:rFonts w:cs="Times New Roman"/>
          <w:szCs w:val="18"/>
        </w:rPr>
        <w:t>55/2019),</w:t>
      </w:r>
      <w:r w:rsidRPr="00654E3B">
        <w:rPr>
          <w:rFonts w:cs="Times New Roman"/>
        </w:rPr>
        <w:t xml:space="preserve"> kao što je mogućnost izvoza certifikata „zelene“ energije iz obnovljivih izvora. Povećanje udjela energije iz obnovljivih izvora je posljedica povećanja udjela potrošnje električne energije, povećanja proizvodnje električne energije iz obnovljivih izvora i smanjenja ukupne potrošnje energije.</w:t>
      </w:r>
    </w:p>
    <w:p w:rsidR="007D4A93" w:rsidRPr="00654E3B" w:rsidRDefault="00EF0BEB">
      <w:pPr>
        <w:rPr>
          <w:rFonts w:cs="Times New Roman"/>
        </w:rPr>
      </w:pPr>
      <w:r w:rsidRPr="00654E3B">
        <w:rPr>
          <w:rFonts w:cs="Times New Roman"/>
        </w:rPr>
        <w:t>U razdoblju do 2040. godine očekivani udio energije iz obnovljivih izvora, ovisno o scenariju, je od 44,1 do 45,8</w:t>
      </w:r>
      <w:r w:rsidR="00060992" w:rsidRPr="00654E3B">
        <w:rPr>
          <w:rFonts w:cs="Times New Roman"/>
        </w:rPr>
        <w:t xml:space="preserve"> %</w:t>
      </w:r>
      <w:r w:rsidRPr="00654E3B">
        <w:rPr>
          <w:rFonts w:cs="Times New Roman"/>
        </w:rPr>
        <w:t>, dok je u razdoblju do 2050. godine očekivani udio energije iz obnovljivih izvora na razini od 53,2</w:t>
      </w:r>
      <w:r w:rsidR="00060992" w:rsidRPr="00654E3B">
        <w:rPr>
          <w:rFonts w:cs="Times New Roman"/>
        </w:rPr>
        <w:t xml:space="preserve"> %</w:t>
      </w:r>
      <w:r w:rsidRPr="00654E3B">
        <w:rPr>
          <w:rFonts w:cs="Times New Roman"/>
        </w:rPr>
        <w:t xml:space="preserve"> do 65,6</w:t>
      </w:r>
      <w:r w:rsidR="00060992" w:rsidRPr="00654E3B">
        <w:rPr>
          <w:rFonts w:cs="Times New Roman"/>
        </w:rPr>
        <w:t xml:space="preserve"> %</w:t>
      </w:r>
      <w:r w:rsidRPr="00654E3B">
        <w:rPr>
          <w:rFonts w:cs="Times New Roman"/>
        </w:rPr>
        <w:t xml:space="preserve"> (tablica 4-1).</w:t>
      </w:r>
    </w:p>
    <w:p w:rsidR="007D4A93" w:rsidRPr="00654E3B" w:rsidRDefault="00EF0BEB">
      <w:pPr>
        <w:pStyle w:val="Tablicanaslov"/>
        <w:spacing w:after="120"/>
        <w:rPr>
          <w:rFonts w:cs="Times New Roman"/>
          <w:i/>
          <w:sz w:val="22"/>
          <w:szCs w:val="22"/>
        </w:rPr>
      </w:pPr>
      <w:bookmarkStart w:id="209" w:name="_Toc33417117"/>
      <w:r w:rsidRPr="00654E3B">
        <w:rPr>
          <w:rFonts w:cs="Times New Roman"/>
          <w:i/>
          <w:sz w:val="22"/>
          <w:szCs w:val="22"/>
        </w:rPr>
        <w:t>Tablica 4-1: Udio energije iz obnovljivih izvora u bruto neposrednoj potrošnji energije</w:t>
      </w:r>
      <w:bookmarkEnd w:id="209"/>
    </w:p>
    <w:tbl>
      <w:tblPr>
        <w:tblW w:w="9072" w:type="dxa"/>
        <w:tblLayout w:type="fixed"/>
        <w:tblCellMar>
          <w:left w:w="0" w:type="dxa"/>
          <w:right w:w="0" w:type="dxa"/>
        </w:tblCellMar>
        <w:tblLook w:val="0000" w:firstRow="0" w:lastRow="0" w:firstColumn="0" w:lastColumn="0" w:noHBand="0" w:noVBand="0"/>
      </w:tblPr>
      <w:tblGrid>
        <w:gridCol w:w="3288"/>
        <w:gridCol w:w="964"/>
        <w:gridCol w:w="964"/>
        <w:gridCol w:w="964"/>
        <w:gridCol w:w="964"/>
        <w:gridCol w:w="964"/>
        <w:gridCol w:w="964"/>
      </w:tblGrid>
      <w:tr w:rsidR="007D4A93" w:rsidRPr="00654E3B">
        <w:trPr>
          <w:trHeight w:val="397"/>
        </w:trPr>
        <w:tc>
          <w:tcPr>
            <w:tcW w:w="32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7D4A93">
            <w:pPr>
              <w:keepNext/>
              <w:spacing w:line="240" w:lineRule="auto"/>
              <w:jc w:val="left"/>
              <w:rPr>
                <w:rFonts w:cs="Times New Roman"/>
              </w:rPr>
            </w:pPr>
            <w:bookmarkStart w:id="210" w:name="_Hlk38266758"/>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center"/>
              <w:rPr>
                <w:rFonts w:cs="Times New Roman"/>
                <w:b/>
                <w:bCs/>
                <w:spacing w:val="-5"/>
              </w:rPr>
            </w:pPr>
            <w:r w:rsidRPr="00654E3B">
              <w:rPr>
                <w:rFonts w:cs="Times New Roman"/>
                <w:b/>
                <w:bCs/>
              </w:rPr>
              <w:t>SCENARIJ</w:t>
            </w:r>
            <w:r w:rsidRPr="00654E3B">
              <w:rPr>
                <w:rFonts w:cs="Times New Roman"/>
                <w:b/>
                <w:bCs/>
                <w:spacing w:val="-6"/>
              </w:rPr>
              <w:t xml:space="preserve"> NU1</w:t>
            </w:r>
            <w:r w:rsidRPr="00654E3B">
              <w:rPr>
                <w:rFonts w:cs="Times New Roman"/>
                <w:b/>
                <w:bCs/>
                <w:spacing w:val="-5"/>
              </w:rPr>
              <w:t xml:space="preserve"> </w:t>
            </w:r>
          </w:p>
          <w:p w:rsidR="007D4A93" w:rsidRPr="00654E3B" w:rsidRDefault="00EF0BEB">
            <w:pPr>
              <w:keepNext/>
              <w:spacing w:line="240" w:lineRule="auto"/>
              <w:jc w:val="center"/>
              <w:rPr>
                <w:rFonts w:cs="Times New Roman"/>
              </w:rPr>
            </w:pPr>
            <w:r w:rsidRPr="00654E3B">
              <w:rPr>
                <w:rFonts w:cs="Times New Roman"/>
                <w:b/>
                <w:bCs/>
                <w:spacing w:val="-1"/>
              </w:rPr>
              <w:t>(</w:t>
            </w:r>
            <w:r w:rsidR="00060992" w:rsidRPr="00654E3B">
              <w:rPr>
                <w:rFonts w:cs="Times New Roman"/>
                <w:b/>
                <w:bCs/>
                <w:spacing w:val="-1"/>
              </w:rPr>
              <w:t xml:space="preserve"> %</w:t>
            </w:r>
            <w:r w:rsidRPr="00654E3B">
              <w:rPr>
                <w:rFonts w:cs="Times New Roman"/>
                <w:b/>
                <w:bCs/>
                <w:spacing w:val="-1"/>
              </w:rPr>
              <w:t>)</w:t>
            </w:r>
          </w:p>
        </w:tc>
        <w:tc>
          <w:tcPr>
            <w:tcW w:w="2892"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center"/>
              <w:rPr>
                <w:rFonts w:cs="Times New Roman"/>
                <w:b/>
                <w:bCs/>
                <w:spacing w:val="-6"/>
              </w:rPr>
            </w:pPr>
            <w:r w:rsidRPr="00654E3B">
              <w:rPr>
                <w:rFonts w:cs="Times New Roman"/>
                <w:b/>
                <w:bCs/>
              </w:rPr>
              <w:t>SCENARIJ</w:t>
            </w:r>
            <w:r w:rsidRPr="00654E3B">
              <w:rPr>
                <w:rFonts w:cs="Times New Roman"/>
                <w:b/>
                <w:bCs/>
                <w:spacing w:val="-6"/>
              </w:rPr>
              <w:t xml:space="preserve"> NU2</w:t>
            </w:r>
          </w:p>
          <w:p w:rsidR="007D4A93" w:rsidRPr="00654E3B" w:rsidRDefault="00EF0BEB">
            <w:pPr>
              <w:keepNext/>
              <w:spacing w:line="240" w:lineRule="auto"/>
              <w:jc w:val="center"/>
              <w:rPr>
                <w:rFonts w:cs="Times New Roman"/>
              </w:rPr>
            </w:pPr>
            <w:r w:rsidRPr="00654E3B">
              <w:rPr>
                <w:rFonts w:cs="Times New Roman"/>
                <w:b/>
                <w:bCs/>
                <w:spacing w:val="-1"/>
              </w:rPr>
              <w:t>(</w:t>
            </w:r>
            <w:r w:rsidR="00060992" w:rsidRPr="00654E3B">
              <w:rPr>
                <w:rFonts w:cs="Times New Roman"/>
                <w:b/>
                <w:bCs/>
                <w:spacing w:val="-1"/>
              </w:rPr>
              <w:t xml:space="preserve"> %</w:t>
            </w:r>
            <w:r w:rsidRPr="00654E3B">
              <w:rPr>
                <w:rFonts w:cs="Times New Roman"/>
                <w:b/>
                <w:bCs/>
                <w:spacing w:val="-1"/>
              </w:rPr>
              <w:t>)</w:t>
            </w:r>
          </w:p>
        </w:tc>
      </w:tr>
      <w:tr w:rsidR="007D4A93" w:rsidRPr="00654E3B">
        <w:trPr>
          <w:trHeight w:val="397"/>
        </w:trPr>
        <w:tc>
          <w:tcPr>
            <w:tcW w:w="3288"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left"/>
              <w:rPr>
                <w:rFonts w:cs="Times New Roman"/>
              </w:rPr>
            </w:pPr>
            <w:r w:rsidRPr="00654E3B">
              <w:rPr>
                <w:rFonts w:cs="Times New Roman"/>
                <w:b/>
                <w:bCs/>
                <w:spacing w:val="-1"/>
              </w:rPr>
              <w:t>Udio energije iz obnovljivih izvora u bruto neposrednoj potrošnji energije</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2030.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2040.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2050.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2030.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2040.</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keepNext/>
              <w:spacing w:line="240" w:lineRule="auto"/>
              <w:jc w:val="center"/>
              <w:rPr>
                <w:rFonts w:cs="Times New Roman"/>
              </w:rPr>
            </w:pPr>
            <w:r w:rsidRPr="00654E3B">
              <w:rPr>
                <w:rFonts w:cs="Times New Roman"/>
              </w:rPr>
              <w:t>2050.</w:t>
            </w:r>
          </w:p>
        </w:tc>
      </w:tr>
      <w:tr w:rsidR="007D4A93" w:rsidRPr="00654E3B">
        <w:trPr>
          <w:trHeight w:val="397"/>
        </w:trPr>
        <w:tc>
          <w:tcPr>
            <w:tcW w:w="3288" w:type="dxa"/>
            <w:vMerge/>
            <w:tcBorders>
              <w:left w:val="single" w:sz="4" w:space="0" w:color="000000"/>
              <w:bottom w:val="single" w:sz="4" w:space="0" w:color="000000"/>
              <w:right w:val="single" w:sz="4" w:space="0" w:color="000000"/>
            </w:tcBorders>
            <w:shd w:val="clear" w:color="auto" w:fill="F2F2F2" w:themeFill="background1" w:themeFillShade="F2"/>
          </w:tcPr>
          <w:p w:rsidR="007D4A93" w:rsidRPr="00654E3B" w:rsidRDefault="007D4A93">
            <w:pPr>
              <w:spacing w:line="240" w:lineRule="auto"/>
              <w:jc w:val="left"/>
              <w:rPr>
                <w:rFonts w:cs="Times New Roma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rsidP="002128E5">
            <w:pPr>
              <w:spacing w:line="240" w:lineRule="auto"/>
              <w:jc w:val="center"/>
              <w:rPr>
                <w:rFonts w:cs="Times New Roman"/>
              </w:rPr>
            </w:pPr>
            <w:r w:rsidRPr="00654E3B">
              <w:rPr>
                <w:rFonts w:cs="Times New Roman"/>
              </w:rPr>
              <w:t>36,</w:t>
            </w:r>
            <w:r w:rsidR="002128E5" w:rsidRPr="00654E3B">
              <w:rPr>
                <w:rFonts w:cs="Times New Roman"/>
              </w:rPr>
              <w:t>6</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44,1</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53,2</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rsidP="002128E5">
            <w:pPr>
              <w:spacing w:line="240" w:lineRule="auto"/>
              <w:jc w:val="center"/>
              <w:rPr>
                <w:rFonts w:cs="Times New Roman"/>
              </w:rPr>
            </w:pPr>
            <w:r w:rsidRPr="00654E3B">
              <w:rPr>
                <w:rFonts w:cs="Times New Roman"/>
              </w:rPr>
              <w:t>36,</w:t>
            </w:r>
            <w:r w:rsidR="002128E5" w:rsidRPr="00654E3B">
              <w:rPr>
                <w:rFonts w:cs="Times New Roman"/>
              </w:rPr>
              <w:t>6</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45,8</w:t>
            </w:r>
          </w:p>
        </w:tc>
        <w:tc>
          <w:tcPr>
            <w:tcW w:w="964"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65,6</w:t>
            </w:r>
          </w:p>
        </w:tc>
      </w:tr>
    </w:tbl>
    <w:p w:rsidR="007D4A93" w:rsidRPr="00654E3B" w:rsidRDefault="00EF0BEB">
      <w:pPr>
        <w:pStyle w:val="Heading1"/>
        <w:rPr>
          <w:rFonts w:ascii="Times New Roman" w:hAnsi="Times New Roman" w:cs="Times New Roman"/>
        </w:rPr>
      </w:pPr>
      <w:bookmarkStart w:id="211" w:name="_Toc20841301"/>
      <w:bookmarkStart w:id="212" w:name="_Toc20841407"/>
      <w:bookmarkStart w:id="213" w:name="_Toc69810162"/>
      <w:bookmarkEnd w:id="210"/>
      <w:r w:rsidRPr="00654E3B">
        <w:rPr>
          <w:rFonts w:ascii="Times New Roman" w:hAnsi="Times New Roman" w:cs="Times New Roman"/>
        </w:rPr>
        <w:t>5.</w:t>
      </w:r>
      <w:r w:rsidRPr="00654E3B">
        <w:rPr>
          <w:rFonts w:ascii="Times New Roman" w:hAnsi="Times New Roman" w:cs="Times New Roman"/>
        </w:rPr>
        <w:tab/>
        <w:t>ENERGETSKA UČINKOVITOST</w:t>
      </w:r>
      <w:bookmarkEnd w:id="211"/>
      <w:bookmarkEnd w:id="212"/>
      <w:bookmarkEnd w:id="213"/>
    </w:p>
    <w:p w:rsidR="007D4A93" w:rsidRPr="00654E3B" w:rsidRDefault="007D4A93">
      <w:pPr>
        <w:rPr>
          <w:rFonts w:cs="Times New Roman"/>
        </w:rPr>
      </w:pPr>
    </w:p>
    <w:p w:rsidR="007D4A93" w:rsidRPr="00654E3B" w:rsidRDefault="00EF0BEB">
      <w:pPr>
        <w:spacing w:line="240" w:lineRule="auto"/>
        <w:rPr>
          <w:rFonts w:cs="Times New Roman"/>
        </w:rPr>
      </w:pPr>
      <w:r w:rsidRPr="00654E3B">
        <w:rPr>
          <w:rFonts w:cs="Times New Roman"/>
        </w:rPr>
        <w:t xml:space="preserve">Republika Hrvatska </w:t>
      </w:r>
      <w:r w:rsidR="00383702" w:rsidRPr="00654E3B">
        <w:rPr>
          <w:rFonts w:cs="Times New Roman"/>
        </w:rPr>
        <w:t xml:space="preserve">je </w:t>
      </w:r>
      <w:r w:rsidRPr="00654E3B">
        <w:rPr>
          <w:rFonts w:cs="Times New Roman"/>
        </w:rPr>
        <w:t>definirala nacionalne ciljeve povećanja energetske učinkovitosti do 2020. godine</w:t>
      </w:r>
      <w:r w:rsidR="00383702" w:rsidRPr="00654E3B">
        <w:rPr>
          <w:rFonts w:cs="Times New Roman"/>
        </w:rPr>
        <w:t>,</w:t>
      </w:r>
      <w:r w:rsidRPr="00654E3B">
        <w:rPr>
          <w:rFonts w:cs="Times New Roman"/>
        </w:rPr>
        <w:t xml:space="preserve"> u 3. Nacionalnom akcijskom planu energetske učinkovitosti za razdoblje 2014.-2016. godine, a revidirani su u 4. Nacionalnom akcijskom planu energetske učinkovitosti  za razdoblje 2017.-2019. </w:t>
      </w:r>
      <w:r w:rsidR="00383702" w:rsidRPr="00654E3B">
        <w:rPr>
          <w:rFonts w:cs="Times New Roman"/>
        </w:rPr>
        <w:t>godina</w:t>
      </w:r>
      <w:r w:rsidRPr="00654E3B">
        <w:rPr>
          <w:rFonts w:cs="Times New Roman"/>
        </w:rPr>
        <w:t>. Okvirni nacionalni cilj povećanja energetske učinkovitosti Republike Hrvatske</w:t>
      </w:r>
      <w:r w:rsidR="00383702" w:rsidRPr="00654E3B">
        <w:rPr>
          <w:rFonts w:cs="Times New Roman"/>
        </w:rPr>
        <w:t>,</w:t>
      </w:r>
      <w:r w:rsidRPr="00654E3B">
        <w:rPr>
          <w:rFonts w:cs="Times New Roman"/>
        </w:rPr>
        <w:t xml:space="preserve"> izražen kao apsolutni iznos neposredne potrošnje energije u 2020. godini je </w:t>
      </w:r>
      <w:r w:rsidR="006C44E2" w:rsidRPr="00654E3B">
        <w:rPr>
          <w:rFonts w:cs="Times New Roman"/>
          <w:bCs/>
        </w:rPr>
        <w:t>281,7</w:t>
      </w:r>
      <w:r w:rsidRPr="00654E3B">
        <w:rPr>
          <w:rFonts w:cs="Times New Roman"/>
          <w:bCs/>
        </w:rPr>
        <w:t xml:space="preserve"> PJ</w:t>
      </w:r>
      <w:r w:rsidRPr="00654E3B">
        <w:rPr>
          <w:rFonts w:cs="Times New Roman"/>
        </w:rPr>
        <w:t xml:space="preserve">. Odgovarajući cilj izražen kao apsolutni iznos primarne energije u 2020. godini </w:t>
      </w:r>
      <w:r w:rsidR="007E0AD0" w:rsidRPr="00654E3B">
        <w:rPr>
          <w:rFonts w:cs="Times New Roman"/>
        </w:rPr>
        <w:t xml:space="preserve">bio </w:t>
      </w:r>
      <w:r w:rsidRPr="00654E3B">
        <w:rPr>
          <w:rFonts w:cs="Times New Roman"/>
        </w:rPr>
        <w:t xml:space="preserve">je </w:t>
      </w:r>
      <w:r w:rsidR="006C44E2" w:rsidRPr="00654E3B">
        <w:rPr>
          <w:rFonts w:cs="Times New Roman"/>
          <w:bCs/>
        </w:rPr>
        <w:t>333</w:t>
      </w:r>
      <w:r w:rsidRPr="00654E3B">
        <w:rPr>
          <w:rFonts w:cs="Times New Roman"/>
          <w:bCs/>
        </w:rPr>
        <w:t xml:space="preserve"> PJ</w:t>
      </w:r>
      <w:r w:rsidRPr="00654E3B">
        <w:rPr>
          <w:rFonts w:cs="Times New Roman"/>
        </w:rPr>
        <w:t>.</w:t>
      </w:r>
    </w:p>
    <w:p w:rsidR="007D4A93" w:rsidRPr="00654E3B" w:rsidRDefault="00EF0BEB">
      <w:pPr>
        <w:spacing w:line="240" w:lineRule="auto"/>
        <w:rPr>
          <w:rFonts w:cs="Times New Roman"/>
        </w:rPr>
      </w:pPr>
      <w:r w:rsidRPr="00654E3B">
        <w:rPr>
          <w:rFonts w:cs="Times New Roman"/>
        </w:rPr>
        <w:t>Povećanje energetske učinkovitosti je najvažniji mehanizam smanjenja potrošnje energije i jedno je od temeljnih načela energetske tranzicije. Povećanje energetske učinkovitosti je nužno kako bi se osigurala cjenovna pristupačnost energije. Predviđa se povećanje energetske učinkovitosti u svim područjima potrošnje i u cijelom lancu od proizvodnje, prijenosa i transporta, distribucije i potrošnje. Primjenjivat će se sve metode smanjenja potrošnje</w:t>
      </w:r>
      <w:r w:rsidR="00383702" w:rsidRPr="00654E3B">
        <w:rPr>
          <w:rFonts w:cs="Times New Roman"/>
        </w:rPr>
        <w:t>,</w:t>
      </w:r>
      <w:r w:rsidRPr="00654E3B">
        <w:rPr>
          <w:rFonts w:cs="Times New Roman"/>
        </w:rPr>
        <w:t xml:space="preserve"> od zakonske regulative, primjene standarda i normi, zamjene postrojenja i uređaja do zabrane korištenja neučinkovitih uređaja.</w:t>
      </w:r>
    </w:p>
    <w:p w:rsidR="007D4A93" w:rsidRPr="00654E3B" w:rsidRDefault="00EF0BEB">
      <w:pPr>
        <w:rPr>
          <w:rFonts w:cs="Times New Roman"/>
        </w:rPr>
      </w:pPr>
      <w:r w:rsidRPr="00654E3B">
        <w:rPr>
          <w:rFonts w:cs="Times New Roman"/>
        </w:rPr>
        <w:t>Osim specifičnih mjera za pojedine sektore, scenarij razvoja uzima u obzir i učinke regulatornih mjera koji će imati međusektorske učinke. U prvom redu</w:t>
      </w:r>
      <w:r w:rsidR="00383702" w:rsidRPr="00654E3B">
        <w:rPr>
          <w:rFonts w:cs="Times New Roman"/>
        </w:rPr>
        <w:t>,</w:t>
      </w:r>
      <w:r w:rsidRPr="00654E3B">
        <w:rPr>
          <w:rFonts w:cs="Times New Roman"/>
        </w:rPr>
        <w:t xml:space="preserve"> ovo se odnosi na uspostavu funkcionalnog sustava obveza energetske učinkovitosti za opskrbljivače energijom</w:t>
      </w:r>
      <w:r w:rsidR="00383702" w:rsidRPr="00654E3B">
        <w:rPr>
          <w:rFonts w:cs="Times New Roman"/>
        </w:rPr>
        <w:t>,</w:t>
      </w:r>
      <w:r w:rsidRPr="00654E3B">
        <w:rPr>
          <w:rFonts w:cs="Times New Roman"/>
        </w:rPr>
        <w:t xml:space="preserve"> u skladu s važećim zakonodavnim okvirom EU i Republike Hrvatske. Očekuje se</w:t>
      </w:r>
      <w:r w:rsidR="00383702" w:rsidRPr="00654E3B">
        <w:rPr>
          <w:rFonts w:cs="Times New Roman"/>
        </w:rPr>
        <w:t>,</w:t>
      </w:r>
      <w:r w:rsidRPr="00654E3B">
        <w:rPr>
          <w:rFonts w:cs="Times New Roman"/>
        </w:rPr>
        <w:t xml:space="preserve"> da će upravo ovaj mehanizam ostvariti veliki napredak u poboljšanju energetske učinkovitosti u svim sektorima neposredne potrošnje i to putem inovativnih tržišnih mehanizama koji angažiraju privatni kapital</w:t>
      </w:r>
      <w:r w:rsidR="00383702" w:rsidRPr="00654E3B">
        <w:rPr>
          <w:rFonts w:cs="Times New Roman"/>
        </w:rPr>
        <w:t>,</w:t>
      </w:r>
      <w:r w:rsidRPr="00654E3B">
        <w:rPr>
          <w:rFonts w:cs="Times New Roman"/>
        </w:rPr>
        <w:t xml:space="preserve"> kako opskrbljivača</w:t>
      </w:r>
      <w:r w:rsidR="00383702" w:rsidRPr="00654E3B">
        <w:rPr>
          <w:rFonts w:cs="Times New Roman"/>
        </w:rPr>
        <w:t>,</w:t>
      </w:r>
      <w:r w:rsidRPr="00654E3B">
        <w:rPr>
          <w:rFonts w:cs="Times New Roman"/>
        </w:rPr>
        <w:t xml:space="preserve"> tako i drugih sudionika na tržištu energetskih usluga.</w:t>
      </w:r>
    </w:p>
    <w:p w:rsidR="007D4A93" w:rsidRPr="00654E3B" w:rsidRDefault="00EF0BEB">
      <w:pPr>
        <w:rPr>
          <w:rFonts w:cs="Times New Roman"/>
        </w:rPr>
      </w:pPr>
      <w:r w:rsidRPr="00654E3B">
        <w:rPr>
          <w:rFonts w:cs="Times New Roman"/>
        </w:rPr>
        <w:t>Energetska tranzicija podrazumijeva povećanje energetske učinkovitosti cijelog energetskog lanca, uključujući proizvodnju, prijenos, distribuciju i neposrednu potrošnju energije. Pri tome se najsnažniji učinci očekuju u zgradarstvu i prometu, a posljedica su:</w:t>
      </w:r>
    </w:p>
    <w:p w:rsidR="002A48C9" w:rsidRPr="00654E3B" w:rsidRDefault="00EA4207" w:rsidP="000C6795">
      <w:pPr>
        <w:pStyle w:val="ListParagraph"/>
        <w:numPr>
          <w:ilvl w:val="0"/>
          <w:numId w:val="56"/>
        </w:numPr>
        <w:rPr>
          <w:rFonts w:cs="Times New Roman"/>
        </w:rPr>
      </w:pPr>
      <w:r w:rsidRPr="00654E3B">
        <w:rPr>
          <w:rFonts w:cs="Times New Roman"/>
        </w:rPr>
        <w:lastRenderedPageBreak/>
        <w:t xml:space="preserve">energetske obnove, s postupnim povećanjem stope obnove u razdoblju 2021. - 2030. s 1,0 </w:t>
      </w:r>
      <w:r w:rsidR="00060992" w:rsidRPr="00654E3B">
        <w:rPr>
          <w:rFonts w:cs="Times New Roman"/>
        </w:rPr>
        <w:t xml:space="preserve"> %</w:t>
      </w:r>
      <w:r w:rsidRPr="00654E3B">
        <w:rPr>
          <w:rFonts w:cs="Times New Roman"/>
        </w:rPr>
        <w:t xml:space="preserve"> na 3,0 </w:t>
      </w:r>
      <w:r w:rsidR="00060992" w:rsidRPr="00654E3B">
        <w:rPr>
          <w:rFonts w:cs="Times New Roman"/>
        </w:rPr>
        <w:t xml:space="preserve"> %</w:t>
      </w:r>
      <w:r w:rsidRPr="00654E3B">
        <w:rPr>
          <w:rFonts w:cs="Times New Roman"/>
        </w:rPr>
        <w:t xml:space="preserve">, te 3,5 </w:t>
      </w:r>
      <w:r w:rsidR="00060992" w:rsidRPr="00654E3B">
        <w:rPr>
          <w:rFonts w:cs="Times New Roman"/>
        </w:rPr>
        <w:t xml:space="preserve"> %</w:t>
      </w:r>
      <w:r w:rsidRPr="00654E3B">
        <w:rPr>
          <w:rFonts w:cs="Times New Roman"/>
        </w:rPr>
        <w:t xml:space="preserve"> od 2031. do 2040. godine</w:t>
      </w:r>
      <w:r w:rsidR="00383702" w:rsidRPr="00654E3B">
        <w:rPr>
          <w:rFonts w:cs="Times New Roman"/>
        </w:rPr>
        <w:t>,</w:t>
      </w:r>
      <w:r w:rsidRPr="00654E3B">
        <w:rPr>
          <w:rFonts w:cs="Times New Roman"/>
        </w:rPr>
        <w:t xml:space="preserve"> 4</w:t>
      </w:r>
      <w:r w:rsidR="00060992" w:rsidRPr="00654E3B">
        <w:rPr>
          <w:rFonts w:cs="Times New Roman"/>
        </w:rPr>
        <w:t xml:space="preserve"> %</w:t>
      </w:r>
      <w:r w:rsidRPr="00654E3B">
        <w:rPr>
          <w:rFonts w:cs="Times New Roman"/>
        </w:rPr>
        <w:t xml:space="preserve"> od 2041. do 2050. godine, kako je određeno Dugoročnom strategijom obnove nacionalnog fonda zgrada do 2050. godine</w:t>
      </w:r>
    </w:p>
    <w:p w:rsidR="007D4A93" w:rsidRPr="00654E3B" w:rsidRDefault="00982D90" w:rsidP="000C6795">
      <w:pPr>
        <w:pStyle w:val="ListParagraph"/>
        <w:numPr>
          <w:ilvl w:val="0"/>
          <w:numId w:val="56"/>
        </w:numPr>
        <w:rPr>
          <w:rFonts w:cs="Times New Roman"/>
        </w:rPr>
      </w:pPr>
      <w:r w:rsidRPr="00654E3B">
        <w:rPr>
          <w:rFonts w:cs="Times New Roman"/>
        </w:rPr>
        <w:t>povećanje udjela</w:t>
      </w:r>
      <w:r w:rsidR="00EF0BEB" w:rsidRPr="00654E3B">
        <w:rPr>
          <w:rFonts w:cs="Times New Roman"/>
        </w:rPr>
        <w:t xml:space="preserve"> električnih i hibridnih vozila</w:t>
      </w:r>
      <w:r w:rsidRPr="00654E3B">
        <w:rPr>
          <w:rFonts w:cs="Times New Roman"/>
        </w:rPr>
        <w:t>,</w:t>
      </w:r>
      <w:r w:rsidR="00EF0BEB" w:rsidRPr="00654E3B">
        <w:rPr>
          <w:rFonts w:cs="Times New Roman"/>
        </w:rPr>
        <w:t xml:space="preserve"> </w:t>
      </w:r>
      <w:r w:rsidRPr="00654E3B">
        <w:rPr>
          <w:rFonts w:cs="Times New Roman"/>
        </w:rPr>
        <w:t>koji</w:t>
      </w:r>
      <w:r w:rsidR="00EF0BEB" w:rsidRPr="00654E3B">
        <w:rPr>
          <w:rFonts w:cs="Times New Roman"/>
        </w:rPr>
        <w:t xml:space="preserve"> u cestovnom prometu, ovisno o scenariju NU1 i NU2 dostiže od 3,5</w:t>
      </w:r>
      <w:r w:rsidR="00060992" w:rsidRPr="00654E3B">
        <w:rPr>
          <w:rFonts w:cs="Times New Roman"/>
        </w:rPr>
        <w:t xml:space="preserve"> %</w:t>
      </w:r>
      <w:r w:rsidR="00EF0BEB" w:rsidRPr="00654E3B">
        <w:rPr>
          <w:rFonts w:cs="Times New Roman"/>
        </w:rPr>
        <w:t xml:space="preserve"> u 2030. do 85</w:t>
      </w:r>
      <w:r w:rsidR="00060992" w:rsidRPr="00654E3B">
        <w:rPr>
          <w:rFonts w:cs="Times New Roman"/>
        </w:rPr>
        <w:t xml:space="preserve"> %</w:t>
      </w:r>
      <w:r w:rsidR="00EF0BEB" w:rsidRPr="00654E3B">
        <w:rPr>
          <w:rFonts w:cs="Times New Roman"/>
        </w:rPr>
        <w:t xml:space="preserve"> u 2050. godini.</w:t>
      </w:r>
    </w:p>
    <w:p w:rsidR="007D4A93" w:rsidRPr="00654E3B" w:rsidRDefault="00EF0BEB">
      <w:pPr>
        <w:rPr>
          <w:rFonts w:cs="Times New Roman"/>
        </w:rPr>
      </w:pPr>
      <w:r w:rsidRPr="00654E3B">
        <w:rPr>
          <w:rFonts w:cs="Times New Roman"/>
        </w:rPr>
        <w:t>Okvirni ciljevi Republike Hrvatske za razdoblje do 2030. i 2050. godine, izraženi u apsolutnim vrijednostima primarne i neposredne potrošnje energije, prema EU direktivi o energetskoj učinkovitosti, prikazani su u tablici 5-1.</w:t>
      </w:r>
    </w:p>
    <w:p w:rsidR="007D4A93" w:rsidRPr="00654E3B" w:rsidRDefault="00EF0BEB">
      <w:pPr>
        <w:pStyle w:val="Tablicanaslov"/>
        <w:spacing w:after="120" w:line="280" w:lineRule="exact"/>
        <w:rPr>
          <w:rFonts w:cs="Times New Roman"/>
          <w:i/>
          <w:sz w:val="22"/>
          <w:szCs w:val="22"/>
        </w:rPr>
      </w:pPr>
      <w:bookmarkStart w:id="214" w:name="bookmark1"/>
      <w:bookmarkStart w:id="215" w:name="bookmark0"/>
      <w:bookmarkStart w:id="216" w:name="_Toc33417118"/>
      <w:bookmarkEnd w:id="214"/>
      <w:bookmarkEnd w:id="215"/>
      <w:r w:rsidRPr="00654E3B">
        <w:rPr>
          <w:rFonts w:cs="Times New Roman"/>
          <w:i/>
          <w:sz w:val="22"/>
          <w:szCs w:val="22"/>
        </w:rPr>
        <w:t>Tablica</w:t>
      </w:r>
      <w:r w:rsidRPr="00654E3B">
        <w:rPr>
          <w:rFonts w:cs="Times New Roman"/>
          <w:i/>
          <w:spacing w:val="-12"/>
          <w:sz w:val="22"/>
          <w:szCs w:val="22"/>
        </w:rPr>
        <w:t xml:space="preserve"> 5-1:</w:t>
      </w:r>
      <w:r w:rsidRPr="00654E3B">
        <w:rPr>
          <w:rFonts w:cs="Times New Roman"/>
          <w:i/>
          <w:spacing w:val="-10"/>
          <w:sz w:val="22"/>
          <w:szCs w:val="22"/>
        </w:rPr>
        <w:t xml:space="preserve"> </w:t>
      </w:r>
      <w:r w:rsidRPr="00654E3B">
        <w:rPr>
          <w:rFonts w:cs="Times New Roman"/>
          <w:i/>
          <w:sz w:val="22"/>
          <w:szCs w:val="22"/>
        </w:rPr>
        <w:t>Okvirni</w:t>
      </w:r>
      <w:r w:rsidRPr="00654E3B">
        <w:rPr>
          <w:rFonts w:cs="Times New Roman"/>
          <w:i/>
          <w:spacing w:val="-10"/>
          <w:sz w:val="22"/>
          <w:szCs w:val="22"/>
        </w:rPr>
        <w:t xml:space="preserve"> </w:t>
      </w:r>
      <w:r w:rsidRPr="00654E3B">
        <w:rPr>
          <w:rFonts w:cs="Times New Roman"/>
          <w:i/>
          <w:sz w:val="22"/>
          <w:szCs w:val="22"/>
        </w:rPr>
        <w:t>nacionalni</w:t>
      </w:r>
      <w:r w:rsidRPr="00654E3B">
        <w:rPr>
          <w:rFonts w:cs="Times New Roman"/>
          <w:i/>
          <w:spacing w:val="-10"/>
          <w:sz w:val="22"/>
          <w:szCs w:val="22"/>
        </w:rPr>
        <w:t xml:space="preserve"> </w:t>
      </w:r>
      <w:r w:rsidRPr="00654E3B">
        <w:rPr>
          <w:rFonts w:cs="Times New Roman"/>
          <w:i/>
          <w:sz w:val="22"/>
          <w:szCs w:val="22"/>
        </w:rPr>
        <w:t>ciljevi</w:t>
      </w:r>
      <w:r w:rsidRPr="00654E3B">
        <w:rPr>
          <w:rFonts w:cs="Times New Roman"/>
          <w:i/>
          <w:spacing w:val="-11"/>
          <w:sz w:val="22"/>
          <w:szCs w:val="22"/>
        </w:rPr>
        <w:t xml:space="preserve"> </w:t>
      </w:r>
      <w:r w:rsidRPr="00654E3B">
        <w:rPr>
          <w:rFonts w:cs="Times New Roman"/>
          <w:i/>
          <w:sz w:val="22"/>
          <w:szCs w:val="22"/>
        </w:rPr>
        <w:t>energetske</w:t>
      </w:r>
      <w:r w:rsidRPr="00654E3B">
        <w:rPr>
          <w:rFonts w:cs="Times New Roman"/>
          <w:i/>
          <w:spacing w:val="-10"/>
          <w:sz w:val="22"/>
          <w:szCs w:val="22"/>
        </w:rPr>
        <w:t xml:space="preserve"> </w:t>
      </w:r>
      <w:r w:rsidRPr="00654E3B">
        <w:rPr>
          <w:rFonts w:cs="Times New Roman"/>
          <w:i/>
          <w:sz w:val="22"/>
          <w:szCs w:val="22"/>
        </w:rPr>
        <w:t>učinkovitosti</w:t>
      </w:r>
      <w:bookmarkEnd w:id="216"/>
    </w:p>
    <w:tbl>
      <w:tblPr>
        <w:tblW w:w="9240" w:type="dxa"/>
        <w:tblLayout w:type="fixed"/>
        <w:tblCellMar>
          <w:left w:w="0" w:type="dxa"/>
          <w:right w:w="0" w:type="dxa"/>
        </w:tblCellMar>
        <w:tblLook w:val="0000" w:firstRow="0" w:lastRow="0" w:firstColumn="0" w:lastColumn="0" w:noHBand="0" w:noVBand="0"/>
      </w:tblPr>
      <w:tblGrid>
        <w:gridCol w:w="2891"/>
        <w:gridCol w:w="907"/>
        <w:gridCol w:w="907"/>
        <w:gridCol w:w="907"/>
        <w:gridCol w:w="907"/>
        <w:gridCol w:w="907"/>
        <w:gridCol w:w="907"/>
        <w:gridCol w:w="907"/>
      </w:tblGrid>
      <w:tr w:rsidR="007D4A93" w:rsidRPr="00654E3B">
        <w:trPr>
          <w:trHeight w:val="397"/>
        </w:trPr>
        <w:tc>
          <w:tcPr>
            <w:tcW w:w="2891" w:type="dxa"/>
            <w:tcBorders>
              <w:top w:val="single" w:sz="4" w:space="0" w:color="000000"/>
              <w:left w:val="single" w:sz="4" w:space="0" w:color="000000"/>
              <w:right w:val="single" w:sz="4" w:space="0" w:color="000000"/>
            </w:tcBorders>
            <w:shd w:val="clear" w:color="auto" w:fill="F2F2F2" w:themeFill="background1" w:themeFillShade="F2"/>
            <w:vAlign w:val="center"/>
          </w:tcPr>
          <w:p w:rsidR="007D4A93" w:rsidRPr="00654E3B" w:rsidRDefault="007D4A93">
            <w:pPr>
              <w:keepNext/>
              <w:spacing w:line="240" w:lineRule="auto"/>
              <w:jc w:val="left"/>
              <w:rPr>
                <w:rFonts w:cs="Times New Roman"/>
              </w:rPr>
            </w:pPr>
          </w:p>
        </w:tc>
        <w:tc>
          <w:tcPr>
            <w:tcW w:w="907" w:type="dxa"/>
            <w:vMerge w:val="restart"/>
            <w:tcBorders>
              <w:top w:val="single" w:sz="4" w:space="0" w:color="000000"/>
              <w:left w:val="single" w:sz="4" w:space="0" w:color="000000"/>
              <w:right w:val="single" w:sz="4" w:space="0" w:color="000000"/>
            </w:tcBorders>
            <w:shd w:val="clear" w:color="auto" w:fill="F2F2F2" w:themeFill="background1" w:themeFillShade="F2"/>
            <w:vAlign w:val="center"/>
          </w:tcPr>
          <w:p w:rsidR="007D4A93" w:rsidRPr="00654E3B" w:rsidRDefault="00EF0BEB">
            <w:pPr>
              <w:spacing w:line="240" w:lineRule="auto"/>
              <w:jc w:val="center"/>
              <w:rPr>
                <w:rFonts w:cs="Times New Roman"/>
              </w:rPr>
            </w:pPr>
            <w:r w:rsidRPr="00654E3B">
              <w:rPr>
                <w:rFonts w:cs="Times New Roman"/>
              </w:rPr>
              <w:t>2020.</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center"/>
              <w:rPr>
                <w:rFonts w:cs="Times New Roman"/>
                <w:b/>
                <w:bCs/>
                <w:spacing w:val="-5"/>
              </w:rPr>
            </w:pPr>
            <w:r w:rsidRPr="00654E3B">
              <w:rPr>
                <w:rFonts w:cs="Times New Roman"/>
                <w:b/>
                <w:bCs/>
              </w:rPr>
              <w:t>SCENARIJ</w:t>
            </w:r>
            <w:r w:rsidRPr="00654E3B">
              <w:rPr>
                <w:rFonts w:cs="Times New Roman"/>
                <w:b/>
                <w:bCs/>
                <w:spacing w:val="-6"/>
              </w:rPr>
              <w:t xml:space="preserve"> NU1</w:t>
            </w:r>
          </w:p>
          <w:p w:rsidR="007D4A93" w:rsidRPr="00654E3B" w:rsidRDefault="00EF0BEB">
            <w:pPr>
              <w:keepNext/>
              <w:spacing w:line="240" w:lineRule="auto"/>
              <w:jc w:val="center"/>
              <w:rPr>
                <w:rFonts w:cs="Times New Roman"/>
              </w:rPr>
            </w:pPr>
            <w:r w:rsidRPr="00654E3B">
              <w:rPr>
                <w:rFonts w:cs="Times New Roman"/>
                <w:b/>
                <w:bCs/>
                <w:spacing w:val="-1"/>
              </w:rPr>
              <w:t>(PJ)</w:t>
            </w:r>
          </w:p>
        </w:tc>
        <w:tc>
          <w:tcPr>
            <w:tcW w:w="2721"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keepNext/>
              <w:spacing w:line="240" w:lineRule="auto"/>
              <w:jc w:val="center"/>
              <w:rPr>
                <w:rFonts w:cs="Times New Roman"/>
                <w:b/>
                <w:bCs/>
                <w:spacing w:val="-6"/>
              </w:rPr>
            </w:pPr>
            <w:r w:rsidRPr="00654E3B">
              <w:rPr>
                <w:rFonts w:cs="Times New Roman"/>
                <w:b/>
                <w:bCs/>
              </w:rPr>
              <w:t>SCENARIJ</w:t>
            </w:r>
            <w:r w:rsidRPr="00654E3B">
              <w:rPr>
                <w:rFonts w:cs="Times New Roman"/>
                <w:b/>
                <w:bCs/>
                <w:spacing w:val="-6"/>
              </w:rPr>
              <w:t xml:space="preserve"> NU2</w:t>
            </w:r>
          </w:p>
          <w:p w:rsidR="007D4A93" w:rsidRPr="00654E3B" w:rsidRDefault="00EF0BEB">
            <w:pPr>
              <w:keepNext/>
              <w:spacing w:line="240" w:lineRule="auto"/>
              <w:jc w:val="center"/>
              <w:rPr>
                <w:rFonts w:cs="Times New Roman"/>
              </w:rPr>
            </w:pPr>
            <w:r w:rsidRPr="00654E3B">
              <w:rPr>
                <w:rFonts w:cs="Times New Roman"/>
                <w:b/>
                <w:bCs/>
                <w:spacing w:val="-1"/>
              </w:rPr>
              <w:t>(PJ)</w:t>
            </w:r>
          </w:p>
        </w:tc>
      </w:tr>
      <w:tr w:rsidR="007D4A93" w:rsidRPr="00654E3B">
        <w:trPr>
          <w:trHeight w:val="397"/>
        </w:trPr>
        <w:tc>
          <w:tcPr>
            <w:tcW w:w="2891" w:type="dxa"/>
            <w:tcBorders>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7D4A93">
            <w:pPr>
              <w:spacing w:line="240" w:lineRule="auto"/>
              <w:jc w:val="left"/>
              <w:rPr>
                <w:rFonts w:cs="Times New Roman"/>
              </w:rPr>
            </w:pPr>
          </w:p>
        </w:tc>
        <w:tc>
          <w:tcPr>
            <w:tcW w:w="907" w:type="dxa"/>
            <w:vMerge/>
            <w:tcBorders>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7D4A93">
            <w:pPr>
              <w:spacing w:line="240" w:lineRule="auto"/>
              <w:jc w:val="center"/>
              <w:rPr>
                <w:rFonts w:cs="Times New Roman"/>
              </w:rPr>
            </w:pP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2030.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2040.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2050.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2030.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2040.</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2050.</w:t>
            </w:r>
          </w:p>
        </w:tc>
      </w:tr>
      <w:tr w:rsidR="007D4A93" w:rsidRPr="00654E3B">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spacing w:line="240" w:lineRule="auto"/>
              <w:jc w:val="left"/>
              <w:rPr>
                <w:rFonts w:cs="Times New Roman"/>
                <w:b/>
                <w:bCs/>
                <w:spacing w:val="-1"/>
              </w:rPr>
            </w:pPr>
            <w:r w:rsidRPr="00654E3B">
              <w:rPr>
                <w:rFonts w:cs="Times New Roman"/>
                <w:b/>
                <w:bCs/>
                <w:spacing w:val="-1"/>
              </w:rPr>
              <w:t>Potrošnja</w:t>
            </w:r>
            <w:r w:rsidRPr="00654E3B">
              <w:rPr>
                <w:rFonts w:cs="Times New Roman"/>
                <w:b/>
                <w:bCs/>
                <w:spacing w:val="-12"/>
              </w:rPr>
              <w:t xml:space="preserve"> </w:t>
            </w:r>
            <w:r w:rsidRPr="00654E3B">
              <w:rPr>
                <w:rFonts w:cs="Times New Roman"/>
                <w:b/>
                <w:bCs/>
              </w:rPr>
              <w:t>primarne</w:t>
            </w:r>
            <w:r w:rsidRPr="00654E3B">
              <w:rPr>
                <w:rFonts w:cs="Times New Roman"/>
                <w:b/>
                <w:bCs/>
                <w:spacing w:val="-11"/>
              </w:rPr>
              <w:t xml:space="preserve"> </w:t>
            </w:r>
            <w:r w:rsidRPr="00654E3B">
              <w:rPr>
                <w:rFonts w:cs="Times New Roman"/>
                <w:b/>
                <w:bCs/>
              </w:rPr>
              <w:t>energije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A93" w:rsidRPr="00654E3B" w:rsidRDefault="006C44E2">
            <w:pPr>
              <w:spacing w:line="240" w:lineRule="auto"/>
              <w:jc w:val="center"/>
              <w:rPr>
                <w:rFonts w:cs="Times New Roman"/>
              </w:rPr>
            </w:pPr>
            <w:r w:rsidRPr="00654E3B">
              <w:rPr>
                <w:rFonts w:cs="Times New Roman"/>
              </w:rPr>
              <w:t>333</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344,4</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325,7</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287,4</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328,7</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292,2</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251,0</w:t>
            </w:r>
          </w:p>
        </w:tc>
      </w:tr>
      <w:tr w:rsidR="007D4A93" w:rsidRPr="00654E3B">
        <w:trPr>
          <w:trHeight w:val="397"/>
        </w:trPr>
        <w:tc>
          <w:tcPr>
            <w:tcW w:w="28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D4A93" w:rsidRPr="00654E3B" w:rsidRDefault="00EF0BEB">
            <w:pPr>
              <w:spacing w:line="240" w:lineRule="auto"/>
              <w:jc w:val="left"/>
              <w:rPr>
                <w:rFonts w:cs="Times New Roman"/>
                <w:b/>
                <w:bCs/>
              </w:rPr>
            </w:pPr>
            <w:r w:rsidRPr="00654E3B">
              <w:rPr>
                <w:rFonts w:cs="Times New Roman"/>
                <w:b/>
                <w:bCs/>
              </w:rPr>
              <w:t>Neposredna</w:t>
            </w:r>
            <w:r w:rsidRPr="00654E3B">
              <w:rPr>
                <w:rFonts w:cs="Times New Roman"/>
                <w:b/>
                <w:bCs/>
                <w:spacing w:val="-15"/>
              </w:rPr>
              <w:t xml:space="preserve"> </w:t>
            </w:r>
            <w:r w:rsidRPr="00654E3B">
              <w:rPr>
                <w:rFonts w:cs="Times New Roman"/>
                <w:b/>
                <w:bCs/>
                <w:spacing w:val="-1"/>
              </w:rPr>
              <w:t>potrošnja</w:t>
            </w:r>
            <w:r w:rsidRPr="00654E3B">
              <w:rPr>
                <w:rFonts w:cs="Times New Roman"/>
                <w:b/>
                <w:bCs/>
                <w:spacing w:val="-14"/>
              </w:rPr>
              <w:t xml:space="preserve"> </w:t>
            </w:r>
            <w:r w:rsidRPr="00654E3B">
              <w:rPr>
                <w:rFonts w:cs="Times New Roman"/>
                <w:b/>
                <w:bCs/>
              </w:rPr>
              <w:t>energije</w:t>
            </w:r>
          </w:p>
        </w:tc>
        <w:tc>
          <w:tcPr>
            <w:tcW w:w="9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4A93" w:rsidRPr="00654E3B" w:rsidRDefault="006C44E2">
            <w:pPr>
              <w:spacing w:line="240" w:lineRule="auto"/>
              <w:jc w:val="center"/>
              <w:rPr>
                <w:rFonts w:cs="Times New Roman"/>
                <w:bCs/>
              </w:rPr>
            </w:pPr>
            <w:r w:rsidRPr="00654E3B">
              <w:rPr>
                <w:rFonts w:cs="Times New Roman"/>
                <w:bCs/>
              </w:rPr>
              <w:t>281,7</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286,9</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265,2</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225,6</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272,5</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238,3</w:t>
            </w:r>
          </w:p>
        </w:tc>
        <w:tc>
          <w:tcPr>
            <w:tcW w:w="907" w:type="dxa"/>
            <w:tcBorders>
              <w:top w:val="single" w:sz="4" w:space="0" w:color="000000"/>
              <w:left w:val="single" w:sz="4" w:space="0" w:color="000000"/>
              <w:bottom w:val="single" w:sz="4" w:space="0" w:color="000000"/>
              <w:right w:val="single" w:sz="4" w:space="0" w:color="000000"/>
            </w:tcBorders>
            <w:vAlign w:val="center"/>
          </w:tcPr>
          <w:p w:rsidR="007D4A93" w:rsidRPr="00654E3B" w:rsidRDefault="00EF0BEB">
            <w:pPr>
              <w:spacing w:line="240" w:lineRule="auto"/>
              <w:jc w:val="center"/>
              <w:rPr>
                <w:rFonts w:cs="Times New Roman"/>
              </w:rPr>
            </w:pPr>
            <w:r w:rsidRPr="00654E3B">
              <w:rPr>
                <w:rFonts w:cs="Times New Roman"/>
              </w:rPr>
              <w:t>189,6</w:t>
            </w:r>
          </w:p>
        </w:tc>
      </w:tr>
    </w:tbl>
    <w:p w:rsidR="007D4A93" w:rsidRPr="00654E3B" w:rsidRDefault="00EF0BEB" w:rsidP="00A9370E">
      <w:pPr>
        <w:spacing w:before="120"/>
        <w:rPr>
          <w:rFonts w:cs="Times New Roman"/>
        </w:rPr>
      </w:pPr>
      <w:r w:rsidRPr="00654E3B">
        <w:rPr>
          <w:rFonts w:cs="Times New Roman"/>
        </w:rPr>
        <w:t>Povećanjem energetske učinkovitosti ostvarit će se koristi za okoliš, smanjiti emisije stakleničkih plinova, poboljšati energetska sigurnost, sniziti troškovi energije te ublažiti energetsko siromaštvo. To će dovesti do veće konkurentnosti, povećanja zaposlenosti i povećane gospodarske aktivnosti, čime će se poboljšati kvaliteta života građana.</w:t>
      </w:r>
    </w:p>
    <w:p w:rsidR="007D4A93" w:rsidRPr="00654E3B" w:rsidRDefault="00EF0BEB">
      <w:pPr>
        <w:pStyle w:val="Heading1"/>
        <w:rPr>
          <w:rFonts w:ascii="Times New Roman" w:hAnsi="Times New Roman" w:cs="Times New Roman"/>
        </w:rPr>
      </w:pPr>
      <w:bookmarkStart w:id="217" w:name="_Toc20841302"/>
      <w:bookmarkStart w:id="218" w:name="_Toc20841408"/>
      <w:bookmarkStart w:id="219" w:name="_Toc69810163"/>
      <w:r w:rsidRPr="00654E3B">
        <w:rPr>
          <w:rFonts w:ascii="Times New Roman" w:hAnsi="Times New Roman" w:cs="Times New Roman"/>
        </w:rPr>
        <w:t xml:space="preserve">6. </w:t>
      </w:r>
      <w:r w:rsidRPr="00654E3B">
        <w:rPr>
          <w:rFonts w:ascii="Times New Roman" w:hAnsi="Times New Roman" w:cs="Times New Roman"/>
        </w:rPr>
        <w:tab/>
        <w:t>SCENARIJI NISKOUGLJIČNOG RAZVOJA PO SEKTORIMA</w:t>
      </w:r>
      <w:bookmarkEnd w:id="217"/>
      <w:bookmarkEnd w:id="218"/>
      <w:bookmarkEnd w:id="219"/>
    </w:p>
    <w:p w:rsidR="007D4A93" w:rsidRPr="00654E3B" w:rsidRDefault="007D4A93">
      <w:pPr>
        <w:rPr>
          <w:rFonts w:cs="Times New Roman"/>
        </w:rPr>
      </w:pPr>
    </w:p>
    <w:p w:rsidR="007D4A93" w:rsidRPr="00654E3B" w:rsidRDefault="00EF0BEB">
      <w:pPr>
        <w:rPr>
          <w:rFonts w:cs="Times New Roman"/>
        </w:rPr>
      </w:pPr>
      <w:r w:rsidRPr="00654E3B">
        <w:rPr>
          <w:rFonts w:cs="Times New Roman"/>
        </w:rPr>
        <w:t>U ovom poglavlju daje se pregled politika i mjera te smjernice za provođenje Niskougljične strategije. Mjere su opisane po pojedinim sektorima. Kompletan popis mjera nalazi se u Prilogu I, II i III. ove Strategije. Temeljem utvrđenih mogućih mjera</w:t>
      </w:r>
      <w:r w:rsidR="00383702" w:rsidRPr="00654E3B">
        <w:rPr>
          <w:rFonts w:cs="Times New Roman"/>
        </w:rPr>
        <w:t>,</w:t>
      </w:r>
      <w:r w:rsidRPr="00654E3B">
        <w:rPr>
          <w:rFonts w:cs="Times New Roman"/>
        </w:rPr>
        <w:t xml:space="preserve"> njihovom kombinacijom definiraju se scenariji. Kao glavni kriteriji za odabir mjera i dubinu njihove primjene odabrani su slijedeći kriteriji: troškovna učinkovitost, potencijal za zapošljavanje, podizanje konkurentnosti domaće industrije i lokalni razvoj. </w:t>
      </w:r>
    </w:p>
    <w:p w:rsidR="007D4A93" w:rsidRPr="00654E3B" w:rsidRDefault="00EF0BEB">
      <w:pPr>
        <w:spacing w:line="240" w:lineRule="auto"/>
        <w:rPr>
          <w:rFonts w:cs="Times New Roman"/>
        </w:rPr>
      </w:pPr>
      <w:r w:rsidRPr="00654E3B">
        <w:rPr>
          <w:rFonts w:cs="Times New Roman"/>
        </w:rPr>
        <w:t>Niskougljična strategija postavlja dva niskougljična scenarija: scenarij postupne tranzicije (NU1) i scenarij snažne tranzicije (NU2). Ova dva scenarija definiraju okvir za budućnost te ovisno o okolnostima, putanja treba biti između ova dva 'granična' scenarija. Nova politička opredjeljenja Europe objavljena krajem 2018. godine, s vizijom društva s neto neutralnom emisijom stakleničkih plinova u 2050. godini, jasno ukazuju da treba što više težiti ostvarenju scenarija NU2, s obzirom da će vrlo uskoro biti potrebno razmotriti i još ambicioznije ciljeve.</w:t>
      </w:r>
    </w:p>
    <w:p w:rsidR="007D4A93" w:rsidRPr="00654E3B" w:rsidRDefault="00EF0BEB">
      <w:pPr>
        <w:spacing w:line="240" w:lineRule="auto"/>
        <w:rPr>
          <w:rFonts w:cs="Times New Roman"/>
        </w:rPr>
      </w:pPr>
      <w:r w:rsidRPr="00654E3B">
        <w:rPr>
          <w:rFonts w:cs="Times New Roman"/>
        </w:rPr>
        <w:t>Niskougljična strategija daje okvir za djelovanje po sektorima i vertikalno, od državne razine do djelovanja na lokalnoj razini. Ne razmatra pojedinačne projekte, investicije i odluke, izuzev ako su one već raspoznate kao strateške. Iz općih smjernica, mjerila, kriterija i čimbenika scenarija NU1 i NU2</w:t>
      </w:r>
      <w:r w:rsidR="00383702" w:rsidRPr="00654E3B">
        <w:rPr>
          <w:rFonts w:cs="Times New Roman"/>
        </w:rPr>
        <w:t>,</w:t>
      </w:r>
      <w:r w:rsidRPr="00654E3B">
        <w:rPr>
          <w:rFonts w:cs="Times New Roman"/>
        </w:rPr>
        <w:t xml:space="preserve"> investitori i donosioci odluka trebaju raspoznati poželjan smjer. Zbog dugoročnosti, ona mora biti i dovoljno široka, kako bi obuhvatila moguće geopolitičke i ostale okolnosti na koje Vlada Republike Hrvatske i gospodarski subjekti ne mogu utjecati.</w:t>
      </w:r>
    </w:p>
    <w:p w:rsidR="007D4A93" w:rsidRPr="00654E3B" w:rsidRDefault="00EF0BEB">
      <w:pPr>
        <w:rPr>
          <w:rFonts w:cs="Times New Roman"/>
          <w:b/>
        </w:rPr>
      </w:pPr>
      <w:r w:rsidRPr="00654E3B">
        <w:rPr>
          <w:rFonts w:cs="Times New Roman"/>
          <w:b/>
        </w:rPr>
        <w:t>Ovim scenarijima Republika Hrvatska ostvaruje u 2030. godini 33,5 do 36,7</w:t>
      </w:r>
      <w:r w:rsidR="00060992" w:rsidRPr="00654E3B">
        <w:rPr>
          <w:rFonts w:cs="Times New Roman"/>
          <w:b/>
        </w:rPr>
        <w:t xml:space="preserve"> %</w:t>
      </w:r>
      <w:r w:rsidRPr="00654E3B">
        <w:rPr>
          <w:rFonts w:cs="Times New Roman"/>
          <w:b/>
        </w:rPr>
        <w:t xml:space="preserve"> smanjenje emisija u odnosu na 1990. godinu, a u 2050. godini 56,8 do 73,1</w:t>
      </w:r>
      <w:r w:rsidR="00060992" w:rsidRPr="00654E3B">
        <w:rPr>
          <w:rFonts w:cs="Times New Roman"/>
          <w:b/>
        </w:rPr>
        <w:t xml:space="preserve"> %</w:t>
      </w:r>
      <w:r w:rsidRPr="00654E3B">
        <w:rPr>
          <w:rFonts w:cs="Times New Roman"/>
          <w:b/>
        </w:rPr>
        <w:t>.</w:t>
      </w:r>
    </w:p>
    <w:p w:rsidR="007D4A93" w:rsidRPr="00654E3B" w:rsidRDefault="00EF0BEB">
      <w:pPr>
        <w:rPr>
          <w:rFonts w:cs="Times New Roman"/>
        </w:rPr>
      </w:pPr>
      <w:r w:rsidRPr="00654E3B">
        <w:rPr>
          <w:rFonts w:cs="Times New Roman"/>
        </w:rPr>
        <w:t>Scenarij NU2 je postavljen ambiciozno, sa smanjenjem ukupne emisije za 80</w:t>
      </w:r>
      <w:r w:rsidR="00060992" w:rsidRPr="00654E3B">
        <w:rPr>
          <w:rFonts w:cs="Times New Roman"/>
        </w:rPr>
        <w:t xml:space="preserve"> %</w:t>
      </w:r>
      <w:r w:rsidRPr="00654E3B">
        <w:rPr>
          <w:rFonts w:cs="Times New Roman"/>
        </w:rPr>
        <w:t xml:space="preserve"> u odnosu na 1990. godinu. Analiza je pokazala da bi smanjenje emisija preko 73,1</w:t>
      </w:r>
      <w:r w:rsidR="00060992" w:rsidRPr="00654E3B">
        <w:rPr>
          <w:rFonts w:cs="Times New Roman"/>
        </w:rPr>
        <w:t xml:space="preserve"> %</w:t>
      </w:r>
      <w:r w:rsidRPr="00654E3B">
        <w:rPr>
          <w:rFonts w:cs="Times New Roman"/>
        </w:rPr>
        <w:t xml:space="preserve">, koliko doseže hrvatski scenarij NU2, zahtijevalo primjenu vrlo skupih tehničkih mjera ili puno veća smanjenja emisije u sektoru poljoprivrede, što bi moglo imati velike socio-gospodarske posljedice. Vrlo je vjerojatno da će razvoj novih tehnologija omogućiti da se s vremenom ova razlika ostvari troškovno učinkovitije. </w:t>
      </w:r>
    </w:p>
    <w:p w:rsidR="007D4A93" w:rsidRPr="00654E3B" w:rsidRDefault="00EF0BEB">
      <w:pPr>
        <w:rPr>
          <w:rFonts w:cs="Times New Roman"/>
          <w:bCs/>
          <w:u w:val="single"/>
        </w:rPr>
      </w:pPr>
      <w:bookmarkStart w:id="220" w:name="_Toc484158987"/>
      <w:r w:rsidRPr="00654E3B">
        <w:rPr>
          <w:rFonts w:cs="Times New Roman"/>
          <w:bCs/>
          <w:u w:val="single"/>
        </w:rPr>
        <w:t>Vremenski horizont</w:t>
      </w:r>
      <w:bookmarkEnd w:id="220"/>
    </w:p>
    <w:p w:rsidR="007D4A93" w:rsidRPr="00654E3B" w:rsidRDefault="00EF0BEB">
      <w:pPr>
        <w:rPr>
          <w:rFonts w:cs="Times New Roman"/>
        </w:rPr>
      </w:pPr>
      <w:r w:rsidRPr="00654E3B">
        <w:rPr>
          <w:rFonts w:cs="Times New Roman"/>
          <w:b/>
          <w:bCs/>
        </w:rPr>
        <w:lastRenderedPageBreak/>
        <w:t>202</w:t>
      </w:r>
      <w:r w:rsidR="007E0AD0" w:rsidRPr="00654E3B">
        <w:rPr>
          <w:rFonts w:cs="Times New Roman"/>
          <w:b/>
          <w:bCs/>
        </w:rPr>
        <w:t>1</w:t>
      </w:r>
      <w:r w:rsidRPr="00654E3B">
        <w:rPr>
          <w:rFonts w:cs="Times New Roman"/>
          <w:b/>
          <w:bCs/>
        </w:rPr>
        <w:t>. – 2030. godina.</w:t>
      </w:r>
      <w:r w:rsidRPr="00654E3B">
        <w:rPr>
          <w:rFonts w:cs="Times New Roman"/>
        </w:rPr>
        <w:t xml:space="preserve"> Primjena mjera u ovom razdoblju treba biti snažna, to je razdoblje u kojem se Republika Hrvatska okreće prema putu niskougljičnog razvoja. Očekuje se da će cijene </w:t>
      </w:r>
      <w:r w:rsidR="00F711F4" w:rsidRPr="00654E3B">
        <w:rPr>
          <w:rFonts w:cs="Times New Roman"/>
        </w:rPr>
        <w:t xml:space="preserve">emisijskih jedinica </w:t>
      </w:r>
      <w:r w:rsidRPr="00654E3B">
        <w:rPr>
          <w:rFonts w:cs="Times New Roman"/>
        </w:rPr>
        <w:t>biti pred kraj ovog razdoblja prilično visoke, a svijest o potrebi smanjenja emisije i utjecajima klimatskih promjena na kolektivnoj i individualnoj razini razvijena. Republika Hrvatska će u ovom razdoblju odlučiti</w:t>
      </w:r>
      <w:r w:rsidR="00C52F70" w:rsidRPr="00654E3B">
        <w:rPr>
          <w:rFonts w:cs="Times New Roman"/>
        </w:rPr>
        <w:t>,</w:t>
      </w:r>
      <w:r w:rsidRPr="00654E3B">
        <w:rPr>
          <w:rFonts w:cs="Times New Roman"/>
        </w:rPr>
        <w:t xml:space="preserve"> da li će nakon 2030. godine ići još ambicioznijim smjerom. Globalno, u okviru Pariškog sporazuma, dogovori o povećanju ambicije su u ciklusima od </w:t>
      </w:r>
      <w:r w:rsidR="0057705E" w:rsidRPr="00654E3B">
        <w:rPr>
          <w:rFonts w:cs="Times New Roman"/>
        </w:rPr>
        <w:t>pet</w:t>
      </w:r>
      <w:r w:rsidRPr="00654E3B">
        <w:rPr>
          <w:rFonts w:cs="Times New Roman"/>
        </w:rPr>
        <w:t xml:space="preserve"> godina. S tim u vezi dolazi do novog načina upravljanja politikom klimats</w:t>
      </w:r>
      <w:r w:rsidR="008D7D1F" w:rsidRPr="00654E3B">
        <w:rPr>
          <w:rFonts w:cs="Times New Roman"/>
        </w:rPr>
        <w:t xml:space="preserve">kih promjena na razni EU (eng. </w:t>
      </w:r>
      <w:r w:rsidR="008D7D1F" w:rsidRPr="00654E3B">
        <w:rPr>
          <w:rFonts w:cs="Times New Roman"/>
          <w:i/>
        </w:rPr>
        <w:t>new governance</w:t>
      </w:r>
      <w:r w:rsidRPr="00654E3B">
        <w:rPr>
          <w:rFonts w:cs="Times New Roman"/>
        </w:rPr>
        <w:t>), dijalog će prevladati normativne pristupe, a ovaj će se pristup širiti vertikalno kroz društvo i gospodarstvo, kao sociološka novina. U ovom razdoblju</w:t>
      </w:r>
      <w:r w:rsidR="00C52F70" w:rsidRPr="00654E3B">
        <w:rPr>
          <w:rFonts w:cs="Times New Roman"/>
        </w:rPr>
        <w:t>,</w:t>
      </w:r>
      <w:r w:rsidRPr="00654E3B">
        <w:rPr>
          <w:rFonts w:cs="Times New Roman"/>
        </w:rPr>
        <w:t xml:space="preserve"> snažna logistička podrška tranziciji trebao bi biti operativni program za ublažavanje i prilagodbu klimatskim promjenama, financiran kroz strukturne fondove EU. </w:t>
      </w:r>
    </w:p>
    <w:p w:rsidR="007D4A93" w:rsidRPr="00654E3B" w:rsidRDefault="00EF0BEB">
      <w:pPr>
        <w:rPr>
          <w:rFonts w:cs="Times New Roman"/>
        </w:rPr>
      </w:pPr>
      <w:r w:rsidRPr="00654E3B">
        <w:rPr>
          <w:rFonts w:cs="Times New Roman"/>
          <w:b/>
          <w:bCs/>
        </w:rPr>
        <w:t>2031. – 2050. godina.</w:t>
      </w:r>
      <w:r w:rsidRPr="00654E3B">
        <w:rPr>
          <w:rFonts w:cs="Times New Roman"/>
        </w:rPr>
        <w:t xml:space="preserve"> Ovo razdoblje treba promatrati u mogućem rasponu djelovanja između scenarija NU1 i NU2. Međunarodni kontekst, gospodarski razvoj i razvoj tehnologija određivat će smjer. Svijest o potrebi ambicioznog djelovanja biti će izgrađena na svim razinama. </w:t>
      </w:r>
    </w:p>
    <w:p w:rsidR="007D4A93" w:rsidRPr="00654E3B" w:rsidRDefault="00EF0BEB">
      <w:pPr>
        <w:pStyle w:val="Heading2"/>
        <w:rPr>
          <w:rFonts w:ascii="Times New Roman" w:hAnsi="Times New Roman" w:cs="Times New Roman"/>
        </w:rPr>
      </w:pPr>
      <w:bookmarkStart w:id="221" w:name="_Toc20841303"/>
      <w:bookmarkStart w:id="222" w:name="_Toc20841409"/>
      <w:bookmarkStart w:id="223" w:name="_Toc69810164"/>
      <w:r w:rsidRPr="00654E3B">
        <w:rPr>
          <w:rFonts w:ascii="Times New Roman" w:hAnsi="Times New Roman" w:cs="Times New Roman"/>
        </w:rPr>
        <w:t xml:space="preserve">6.1. </w:t>
      </w:r>
      <w:r w:rsidRPr="00654E3B">
        <w:rPr>
          <w:rFonts w:ascii="Times New Roman" w:hAnsi="Times New Roman" w:cs="Times New Roman"/>
        </w:rPr>
        <w:tab/>
        <w:t>PROIZVODNJA ELEKTRIČNE ENERGIJE I TOPLINE</w:t>
      </w:r>
      <w:bookmarkEnd w:id="221"/>
      <w:bookmarkEnd w:id="222"/>
      <w:bookmarkEnd w:id="223"/>
      <w:r w:rsidRPr="00654E3B">
        <w:rPr>
          <w:rFonts w:ascii="Times New Roman" w:hAnsi="Times New Roman" w:cs="Times New Roman"/>
        </w:rPr>
        <w:tab/>
      </w:r>
    </w:p>
    <w:p w:rsidR="007D4A93" w:rsidRPr="00654E3B" w:rsidRDefault="00EF0BEB" w:rsidP="009F6651">
      <w:pPr>
        <w:pStyle w:val="Heading3"/>
      </w:pPr>
      <w:bookmarkStart w:id="224" w:name="_Toc69810165"/>
      <w:r w:rsidRPr="00654E3B">
        <w:t>6.1.1. Emisije stakleničkih plinova</w:t>
      </w:r>
      <w:bookmarkEnd w:id="224"/>
    </w:p>
    <w:p w:rsidR="007D4A93" w:rsidRPr="00654E3B" w:rsidRDefault="007D4A93">
      <w:pPr>
        <w:rPr>
          <w:rFonts w:cs="Times New Roman"/>
        </w:rPr>
      </w:pPr>
    </w:p>
    <w:p w:rsidR="007D4A93" w:rsidRPr="00654E3B" w:rsidRDefault="00EF0BEB">
      <w:pPr>
        <w:rPr>
          <w:rFonts w:cs="Times New Roman"/>
        </w:rPr>
      </w:pPr>
      <w:r w:rsidRPr="00654E3B">
        <w:rPr>
          <w:rFonts w:cs="Times New Roman"/>
        </w:rPr>
        <w:t>Sektor proizvodnje električne energije i topline u 2018. godini činio je 13,8</w:t>
      </w:r>
      <w:r w:rsidR="00060992" w:rsidRPr="00654E3B">
        <w:rPr>
          <w:rFonts w:cs="Times New Roman"/>
        </w:rPr>
        <w:t xml:space="preserve"> %</w:t>
      </w:r>
      <w:r w:rsidRPr="00654E3B">
        <w:rPr>
          <w:rFonts w:cs="Times New Roman"/>
        </w:rPr>
        <w:t xml:space="preserve"> emisije stakleničkih plinova Republike Hrvatske</w:t>
      </w:r>
      <w:r w:rsidR="008C7C37" w:rsidRPr="00654E3B">
        <w:rPr>
          <w:rFonts w:cs="Times New Roman"/>
        </w:rPr>
        <w:t xml:space="preserve">, a </w:t>
      </w:r>
      <w:r w:rsidRPr="00654E3B">
        <w:rPr>
          <w:rFonts w:cs="Times New Roman"/>
        </w:rPr>
        <w:t>96</w:t>
      </w:r>
      <w:r w:rsidR="00060992" w:rsidRPr="00654E3B">
        <w:rPr>
          <w:rFonts w:cs="Times New Roman"/>
        </w:rPr>
        <w:t xml:space="preserve"> %</w:t>
      </w:r>
      <w:r w:rsidRPr="00654E3B">
        <w:rPr>
          <w:rFonts w:cs="Times New Roman"/>
        </w:rPr>
        <w:t xml:space="preserve"> emisija u ovome sektoru obuhvaćeno je ETS-om. </w:t>
      </w:r>
    </w:p>
    <w:p w:rsidR="007D4A93" w:rsidRPr="00654E3B" w:rsidRDefault="00EF0BEB">
      <w:pPr>
        <w:rPr>
          <w:rFonts w:cs="Times New Roman"/>
        </w:rPr>
      </w:pPr>
      <w:r w:rsidRPr="00654E3B">
        <w:rPr>
          <w:rFonts w:cs="Times New Roman"/>
        </w:rPr>
        <w:t>U odnosu na 1990. godinu, u ovom sektoru u niskougljičnim scenarijima NU1 i NU2</w:t>
      </w:r>
      <w:r w:rsidR="008C7C37" w:rsidRPr="00654E3B">
        <w:rPr>
          <w:rFonts w:cs="Times New Roman"/>
        </w:rPr>
        <w:t>,</w:t>
      </w:r>
      <w:r w:rsidRPr="00654E3B">
        <w:rPr>
          <w:rFonts w:cs="Times New Roman"/>
        </w:rPr>
        <w:t xml:space="preserve"> postiže se smanjenje emisije za 49,7 do 53,3</w:t>
      </w:r>
      <w:r w:rsidR="00060992" w:rsidRPr="00654E3B">
        <w:rPr>
          <w:rFonts w:cs="Times New Roman"/>
        </w:rPr>
        <w:t xml:space="preserve"> %</w:t>
      </w:r>
      <w:r w:rsidRPr="00654E3B">
        <w:rPr>
          <w:rFonts w:cs="Times New Roman"/>
        </w:rPr>
        <w:t xml:space="preserve"> u 2030. godini, a za 61,0 do 93,3</w:t>
      </w:r>
      <w:r w:rsidR="00060992" w:rsidRPr="00654E3B">
        <w:rPr>
          <w:rFonts w:cs="Times New Roman"/>
        </w:rPr>
        <w:t xml:space="preserve"> %</w:t>
      </w:r>
      <w:r w:rsidRPr="00654E3B">
        <w:rPr>
          <w:rFonts w:cs="Times New Roman"/>
        </w:rPr>
        <w:t xml:space="preserve"> u 2050. godini.</w:t>
      </w:r>
    </w:p>
    <w:p w:rsidR="00AB40C9" w:rsidRPr="00654E3B" w:rsidRDefault="00AB40C9">
      <w:pPr>
        <w:rPr>
          <w:rFonts w:cs="Times New Roman"/>
        </w:rPr>
      </w:pPr>
    </w:p>
    <w:p w:rsidR="007D4A93" w:rsidRPr="00654E3B" w:rsidRDefault="00EF0BEB" w:rsidP="009F6651">
      <w:pPr>
        <w:pStyle w:val="Heading3"/>
      </w:pPr>
      <w:bookmarkStart w:id="225" w:name="_Toc69810166"/>
      <w:r w:rsidRPr="00654E3B">
        <w:t>6.1.2.</w:t>
      </w:r>
      <w:r w:rsidRPr="00654E3B">
        <w:tab/>
        <w:t xml:space="preserve">Politike i mjere za niskougljični </w:t>
      </w:r>
      <w:r w:rsidRPr="009F6651">
        <w:t>razvoj</w:t>
      </w:r>
      <w:bookmarkEnd w:id="225"/>
    </w:p>
    <w:p w:rsidR="007D4A93" w:rsidRPr="00654E3B" w:rsidRDefault="007D4A93" w:rsidP="009F6651"/>
    <w:p w:rsidR="007D4A93" w:rsidRPr="00654E3B" w:rsidRDefault="00EF0BEB">
      <w:pPr>
        <w:spacing w:line="240" w:lineRule="auto"/>
        <w:rPr>
          <w:rFonts w:cs="Times New Roman"/>
        </w:rPr>
      </w:pPr>
      <w:r w:rsidRPr="00654E3B">
        <w:rPr>
          <w:rFonts w:cs="Times New Roman"/>
        </w:rPr>
        <w:t>U ovom sektoru će doći do velikih promjena, elektrane na fosilna goriva prepuštati će mjesto obnovljivim izvorima energije. Od elektrana na fosilna goriva, najveći značaj imati će plinske kogeneracijske elektrane visoke učinkovitosti. Smjer je prema decentralizaciji proizvodnje električne energije, potrošači (kućanstva i ustanove) će biti i proizvođači energije, razmjena energije dešavat će se na lokalnim razinama, a proizvođači energije i spremišta energije biti će povezani naprednim mrežama. Fleksibilna će potrošnja biti upravljana pametnim sustavima. Za integraciju obnovljivih izvora energije</w:t>
      </w:r>
      <w:r w:rsidR="00073D1D" w:rsidRPr="00654E3B">
        <w:rPr>
          <w:rFonts w:cs="Times New Roman"/>
        </w:rPr>
        <w:t>,</w:t>
      </w:r>
      <w:r w:rsidRPr="00654E3B">
        <w:rPr>
          <w:rFonts w:cs="Times New Roman"/>
        </w:rPr>
        <w:t xml:space="preserve"> </w:t>
      </w:r>
      <w:r w:rsidR="00073D1D" w:rsidRPr="00654E3B">
        <w:rPr>
          <w:rFonts w:cs="Times New Roman"/>
        </w:rPr>
        <w:t xml:space="preserve">ključni </w:t>
      </w:r>
      <w:r w:rsidRPr="00654E3B">
        <w:rPr>
          <w:rFonts w:cs="Times New Roman"/>
        </w:rPr>
        <w:t>će biti spremnici energije, njihovi kapaciteti, brzine punjenja i pražnjenja i cijena tehnologija.</w:t>
      </w:r>
    </w:p>
    <w:p w:rsidR="007D4A93" w:rsidRPr="00654E3B" w:rsidRDefault="00EF0BEB">
      <w:pPr>
        <w:spacing w:line="240" w:lineRule="auto"/>
        <w:rPr>
          <w:rFonts w:cs="Times New Roman"/>
        </w:rPr>
      </w:pPr>
      <w:r w:rsidRPr="00654E3B">
        <w:rPr>
          <w:rFonts w:cs="Times New Roman"/>
        </w:rPr>
        <w:t>Očekuje se porast potrošnje električne energije uslijed elektrifikacije sektora prometa, porasta primjene dizalica topline za grijanje, porasta korištenja klimatizacijskih uređaja te gospodarskog razvoja u sektoru industrije i uslužnom sektoru. Na dodatan rast bruto potrošnje električne energije</w:t>
      </w:r>
      <w:r w:rsidR="00073D1D" w:rsidRPr="00654E3B">
        <w:rPr>
          <w:rFonts w:cs="Times New Roman"/>
        </w:rPr>
        <w:t>,</w:t>
      </w:r>
      <w:r w:rsidRPr="00654E3B">
        <w:rPr>
          <w:rFonts w:cs="Times New Roman"/>
        </w:rPr>
        <w:t xml:space="preserve"> utjecati će razvoj električnih kotlova i/ili dizalica topline u centraliziranim toplinskim sustavima te u dužem roku potencijalni razvoj sustava za elektrolizu vodika</w:t>
      </w:r>
      <w:r w:rsidR="00073D1D" w:rsidRPr="00654E3B">
        <w:rPr>
          <w:rFonts w:cs="Times New Roman"/>
        </w:rPr>
        <w:t>,</w:t>
      </w:r>
      <w:r w:rsidRPr="00654E3B">
        <w:rPr>
          <w:rFonts w:cs="Times New Roman"/>
        </w:rPr>
        <w:t xml:space="preserve"> koji će koristiti električnu energiju u trenucima niskih cijena, odnosno viška proizvodnje električne energije iz obnovljivih izvora. </w:t>
      </w:r>
    </w:p>
    <w:p w:rsidR="007D4A93" w:rsidRPr="00654E3B" w:rsidRDefault="00EF0BEB">
      <w:pPr>
        <w:spacing w:line="240" w:lineRule="auto"/>
        <w:rPr>
          <w:rFonts w:cs="Times New Roman"/>
        </w:rPr>
      </w:pPr>
      <w:r w:rsidRPr="00654E3B">
        <w:rPr>
          <w:rFonts w:cs="Times New Roman"/>
        </w:rPr>
        <w:t>S druge strane, postoji značajan potencijal za uštedu električne energije i povećanje energetske učinkovitosti u neposrednoj potrošnji, prvenstveno kroz povećanje učinkovitosti kućanskih i uredskih uređaja, povećanje učinkovitosti sustava javne i unutrašnje rasvjete, primjenu mjera energetske učinkovitosti u industriji te zamjenu elektrootpornog grijanja primjenom električne energije učinkovitijim sustavima.</w:t>
      </w:r>
    </w:p>
    <w:p w:rsidR="007D4A93" w:rsidRPr="00654E3B" w:rsidRDefault="00EF0BEB">
      <w:pPr>
        <w:spacing w:line="240" w:lineRule="auto"/>
        <w:rPr>
          <w:rFonts w:cs="Times New Roman"/>
        </w:rPr>
      </w:pPr>
      <w:r w:rsidRPr="00654E3B">
        <w:rPr>
          <w:rFonts w:cs="Times New Roman"/>
        </w:rPr>
        <w:t>Osnovne mjere uključuju korištenje obnovljivih izvora energije i kogeneracije, korištenje goriva s manjom specifičnom emisijom CO</w:t>
      </w:r>
      <w:r w:rsidRPr="00654E3B">
        <w:rPr>
          <w:rFonts w:cs="Times New Roman"/>
          <w:vertAlign w:val="subscript"/>
        </w:rPr>
        <w:t>2</w:t>
      </w:r>
      <w:r w:rsidRPr="00654E3B">
        <w:rPr>
          <w:rFonts w:cs="Times New Roman"/>
        </w:rPr>
        <w:t>, povećanje energetske učinkovitosti, hvatanje i skladištenje CO</w:t>
      </w:r>
      <w:r w:rsidRPr="00654E3B">
        <w:rPr>
          <w:rFonts w:cs="Times New Roman"/>
          <w:vertAlign w:val="subscript"/>
        </w:rPr>
        <w:t>2</w:t>
      </w:r>
      <w:r w:rsidRPr="00654E3B">
        <w:rPr>
          <w:rFonts w:cs="Times New Roman"/>
        </w:rPr>
        <w:t>, korištenje nuklearne energije te smanjenje gubitaka u prijenosu i distribuciji energije.</w:t>
      </w:r>
    </w:p>
    <w:p w:rsidR="007D4A93" w:rsidRPr="00654E3B" w:rsidRDefault="00EF0BEB">
      <w:pPr>
        <w:spacing w:line="240" w:lineRule="auto"/>
        <w:rPr>
          <w:rFonts w:cs="Times New Roman"/>
        </w:rPr>
      </w:pPr>
      <w:r w:rsidRPr="00654E3B">
        <w:rPr>
          <w:rFonts w:cs="Times New Roman"/>
          <w:b/>
        </w:rPr>
        <w:t>Obnovljivi izvori energije (OIE) i kogeneracija.</w:t>
      </w:r>
      <w:r w:rsidRPr="00654E3B">
        <w:rPr>
          <w:rFonts w:cs="Times New Roman"/>
        </w:rPr>
        <w:t xml:space="preserve"> Mjera uključuje izgradnju postrojenja koja koriste obnovljive izvore energije za proizvodnju električne energije i/ili topline</w:t>
      </w:r>
      <w:r w:rsidR="00073D1D" w:rsidRPr="00654E3B">
        <w:rPr>
          <w:rFonts w:cs="Times New Roman"/>
        </w:rPr>
        <w:t>,</w:t>
      </w:r>
      <w:r w:rsidRPr="00654E3B">
        <w:rPr>
          <w:rFonts w:cs="Times New Roman"/>
        </w:rPr>
        <w:t xml:space="preserve"> kao što su hidroelektrane, sunčane elektrane, vjetroelektrane, elektrane na biomasu/bioplin</w:t>
      </w:r>
      <w:r w:rsidR="00073D1D" w:rsidRPr="00654E3B">
        <w:rPr>
          <w:rFonts w:cs="Times New Roman"/>
        </w:rPr>
        <w:t xml:space="preserve"> i</w:t>
      </w:r>
      <w:r w:rsidRPr="00654E3B">
        <w:rPr>
          <w:rFonts w:cs="Times New Roman"/>
        </w:rPr>
        <w:t xml:space="preserve"> geotermalne elektrane.</w:t>
      </w:r>
    </w:p>
    <w:p w:rsidR="007D4A93" w:rsidRPr="00654E3B" w:rsidRDefault="00EF0BEB">
      <w:pPr>
        <w:spacing w:line="240" w:lineRule="auto"/>
        <w:rPr>
          <w:rFonts w:cs="Times New Roman"/>
        </w:rPr>
      </w:pPr>
      <w:r w:rsidRPr="00654E3B">
        <w:rPr>
          <w:rFonts w:cs="Times New Roman"/>
        </w:rPr>
        <w:lastRenderedPageBreak/>
        <w:t>Pretpostavka je da su sve opcije za proizvodnju električne energije otvorene i imaju jednak pristup tržištu (bez bi</w:t>
      </w:r>
      <w:r w:rsidR="00073D1D" w:rsidRPr="00654E3B">
        <w:rPr>
          <w:rFonts w:cs="Times New Roman"/>
        </w:rPr>
        <w:t>l</w:t>
      </w:r>
      <w:r w:rsidRPr="00654E3B">
        <w:rPr>
          <w:rFonts w:cs="Times New Roman"/>
        </w:rPr>
        <w:t>o kakve vrste poticaja za bilo koju tehnologiju). Mogućnosti korištenja pojedinih oblika energije</w:t>
      </w:r>
      <w:r w:rsidR="00073D1D" w:rsidRPr="00654E3B">
        <w:rPr>
          <w:rFonts w:cs="Times New Roman"/>
        </w:rPr>
        <w:t xml:space="preserve">, </w:t>
      </w:r>
      <w:r w:rsidRPr="00654E3B">
        <w:rPr>
          <w:rFonts w:cs="Times New Roman"/>
        </w:rPr>
        <w:t>određene su u skladu s procjenom raspoloživog potencijala i raspoloživim tehnologijama. U obzir su uzete sljedeće opcije:</w:t>
      </w:r>
    </w:p>
    <w:p w:rsidR="007D4A93" w:rsidRPr="00654E3B" w:rsidRDefault="00EF0BEB" w:rsidP="000C6795">
      <w:pPr>
        <w:pStyle w:val="ListParagraph"/>
        <w:numPr>
          <w:ilvl w:val="0"/>
          <w:numId w:val="39"/>
        </w:numPr>
        <w:rPr>
          <w:rFonts w:cs="Times New Roman"/>
          <w:b/>
        </w:rPr>
      </w:pPr>
      <w:r w:rsidRPr="00654E3B">
        <w:rPr>
          <w:rFonts w:cs="Times New Roman"/>
          <w:b/>
        </w:rPr>
        <w:t>hid</w:t>
      </w:r>
      <w:r w:rsidR="008D7D1F" w:rsidRPr="00654E3B">
        <w:rPr>
          <w:rFonts w:cs="Times New Roman"/>
          <w:b/>
        </w:rPr>
        <w:t>roelektrane</w:t>
      </w:r>
    </w:p>
    <w:p w:rsidR="007D4A93" w:rsidRPr="00654E3B" w:rsidRDefault="00EF0BEB" w:rsidP="000C6795">
      <w:pPr>
        <w:pStyle w:val="ListParagraph"/>
        <w:numPr>
          <w:ilvl w:val="0"/>
          <w:numId w:val="40"/>
        </w:numPr>
        <w:rPr>
          <w:rFonts w:cs="Times New Roman"/>
        </w:rPr>
      </w:pPr>
      <w:r w:rsidRPr="00654E3B">
        <w:rPr>
          <w:rFonts w:cs="Times New Roman"/>
        </w:rPr>
        <w:t>akumulacijske, protočne i reverzibilne</w:t>
      </w:r>
    </w:p>
    <w:p w:rsidR="007D4A93" w:rsidRPr="00654E3B" w:rsidRDefault="00EF0BEB" w:rsidP="000C6795">
      <w:pPr>
        <w:pStyle w:val="ListParagraph"/>
        <w:numPr>
          <w:ilvl w:val="0"/>
          <w:numId w:val="40"/>
        </w:numPr>
        <w:rPr>
          <w:rFonts w:cs="Times New Roman"/>
        </w:rPr>
      </w:pPr>
      <w:r w:rsidRPr="00654E3B">
        <w:rPr>
          <w:rFonts w:cs="Times New Roman"/>
        </w:rPr>
        <w:t>male elektrane (uobičajeno priključene na distribucijsku mrežu)</w:t>
      </w:r>
    </w:p>
    <w:p w:rsidR="007D4A93" w:rsidRPr="00654E3B" w:rsidRDefault="008D7D1F" w:rsidP="000C6795">
      <w:pPr>
        <w:pStyle w:val="ListParagraph"/>
        <w:numPr>
          <w:ilvl w:val="0"/>
          <w:numId w:val="39"/>
        </w:numPr>
        <w:rPr>
          <w:rFonts w:cs="Times New Roman"/>
          <w:b/>
        </w:rPr>
      </w:pPr>
      <w:r w:rsidRPr="00654E3B">
        <w:rPr>
          <w:rFonts w:cs="Times New Roman"/>
          <w:b/>
        </w:rPr>
        <w:t>sunčane elektrane</w:t>
      </w:r>
    </w:p>
    <w:p w:rsidR="007D4A93" w:rsidRPr="00654E3B" w:rsidRDefault="00EF0BEB" w:rsidP="000C6795">
      <w:pPr>
        <w:pStyle w:val="ListParagraph"/>
        <w:numPr>
          <w:ilvl w:val="0"/>
          <w:numId w:val="40"/>
        </w:numPr>
        <w:rPr>
          <w:rFonts w:cs="Times New Roman"/>
        </w:rPr>
      </w:pPr>
      <w:r w:rsidRPr="00654E3B">
        <w:rPr>
          <w:rFonts w:cs="Times New Roman"/>
        </w:rPr>
        <w:t>fotonaponski sustavi – individualni/integrirani i na razini distribucijske i prijenosne mreže. Prednost se daje sustavima koji su integrirani, tj. nalaze se na mjestu neposredne potrošnje</w:t>
      </w:r>
    </w:p>
    <w:p w:rsidR="007D4A93" w:rsidRPr="00654E3B" w:rsidRDefault="00EF0BEB" w:rsidP="000C6795">
      <w:pPr>
        <w:pStyle w:val="ListParagraph"/>
        <w:numPr>
          <w:ilvl w:val="0"/>
          <w:numId w:val="40"/>
        </w:numPr>
        <w:rPr>
          <w:rFonts w:cs="Times New Roman"/>
        </w:rPr>
      </w:pPr>
      <w:r w:rsidRPr="00654E3B">
        <w:rPr>
          <w:rFonts w:cs="Times New Roman"/>
        </w:rPr>
        <w:t xml:space="preserve">termo-sunčane elektrane (engl. </w:t>
      </w:r>
      <w:r w:rsidRPr="00654E3B">
        <w:rPr>
          <w:rFonts w:cs="Times New Roman"/>
          <w:i/>
        </w:rPr>
        <w:t>CSP – Concentrated Solar Power</w:t>
      </w:r>
      <w:r w:rsidRPr="00654E3B">
        <w:rPr>
          <w:rFonts w:cs="Times New Roman"/>
        </w:rPr>
        <w:t>)</w:t>
      </w:r>
    </w:p>
    <w:p w:rsidR="007D4A93" w:rsidRPr="00654E3B" w:rsidRDefault="008D7D1F" w:rsidP="000C6795">
      <w:pPr>
        <w:pStyle w:val="ListParagraph"/>
        <w:numPr>
          <w:ilvl w:val="0"/>
          <w:numId w:val="39"/>
        </w:numPr>
        <w:rPr>
          <w:rFonts w:cs="Times New Roman"/>
          <w:b/>
        </w:rPr>
      </w:pPr>
      <w:r w:rsidRPr="00654E3B">
        <w:rPr>
          <w:rFonts w:cs="Times New Roman"/>
          <w:b/>
        </w:rPr>
        <w:t>vjetroelektrane</w:t>
      </w:r>
    </w:p>
    <w:p w:rsidR="007D4A93" w:rsidRPr="00654E3B" w:rsidRDefault="00EF0BEB" w:rsidP="000C6795">
      <w:pPr>
        <w:pStyle w:val="ListParagraph"/>
        <w:numPr>
          <w:ilvl w:val="0"/>
          <w:numId w:val="40"/>
        </w:numPr>
        <w:rPr>
          <w:rFonts w:cs="Times New Roman"/>
        </w:rPr>
      </w:pPr>
      <w:r w:rsidRPr="00654E3B">
        <w:rPr>
          <w:rFonts w:cs="Times New Roman"/>
        </w:rPr>
        <w:t>na kopnu i nad morem (pučinske)</w:t>
      </w:r>
    </w:p>
    <w:p w:rsidR="007D4A93" w:rsidRPr="00654E3B" w:rsidRDefault="00EF0BEB" w:rsidP="000C6795">
      <w:pPr>
        <w:pStyle w:val="ListParagraph"/>
        <w:numPr>
          <w:ilvl w:val="0"/>
          <w:numId w:val="39"/>
        </w:numPr>
        <w:rPr>
          <w:rFonts w:cs="Times New Roman"/>
          <w:b/>
        </w:rPr>
      </w:pPr>
      <w:r w:rsidRPr="00654E3B">
        <w:rPr>
          <w:rFonts w:cs="Times New Roman"/>
          <w:b/>
        </w:rPr>
        <w:t xml:space="preserve">elektrane/kogeneracije koje koriste krutu biomasu i bioplin, </w:t>
      </w:r>
      <w:r w:rsidRPr="00654E3B">
        <w:rPr>
          <w:rFonts w:cs="Times New Roman"/>
          <w:b/>
          <w:bCs/>
        </w:rPr>
        <w:t xml:space="preserve">vodik, sintetski plin i druga goriva dobivena kemijskim recikliranjem otpada </w:t>
      </w:r>
    </w:p>
    <w:p w:rsidR="007D4A93" w:rsidRPr="00654E3B" w:rsidRDefault="00EF0BEB" w:rsidP="000C6795">
      <w:pPr>
        <w:pStyle w:val="ListParagraph"/>
        <w:numPr>
          <w:ilvl w:val="0"/>
          <w:numId w:val="40"/>
        </w:numPr>
        <w:rPr>
          <w:rFonts w:cs="Times New Roman"/>
          <w:bCs/>
        </w:rPr>
      </w:pPr>
      <w:r w:rsidRPr="00654E3B">
        <w:rPr>
          <w:rFonts w:cs="Times New Roman"/>
          <w:bCs/>
        </w:rPr>
        <w:t>u postojećim elektranama na prirodni plin može se koristiti sintetski plin dobiven kemijskim recikliranjem otpada</w:t>
      </w:r>
    </w:p>
    <w:p w:rsidR="007D4A93" w:rsidRPr="00654E3B" w:rsidRDefault="00EF0BEB" w:rsidP="000C6795">
      <w:pPr>
        <w:pStyle w:val="ListParagraph"/>
        <w:numPr>
          <w:ilvl w:val="0"/>
          <w:numId w:val="39"/>
        </w:numPr>
        <w:rPr>
          <w:rFonts w:cs="Times New Roman"/>
          <w:b/>
        </w:rPr>
      </w:pPr>
      <w:r w:rsidRPr="00654E3B">
        <w:rPr>
          <w:rFonts w:cs="Times New Roman"/>
          <w:b/>
        </w:rPr>
        <w:t>geotermalne elektrane.</w:t>
      </w:r>
    </w:p>
    <w:p w:rsidR="007D4A93" w:rsidRPr="00654E3B" w:rsidRDefault="00EF0BEB">
      <w:pPr>
        <w:rPr>
          <w:rFonts w:cs="Times New Roman"/>
        </w:rPr>
      </w:pPr>
      <w:r w:rsidRPr="00654E3B">
        <w:rPr>
          <w:rFonts w:cs="Times New Roman"/>
          <w:b/>
        </w:rPr>
        <w:t>Spremnici energije (baterije).</w:t>
      </w:r>
      <w:r w:rsidRPr="00654E3B">
        <w:rPr>
          <w:rFonts w:cs="Times New Roman"/>
        </w:rPr>
        <w:t xml:space="preserve"> Pohrana energije nužna je u sustavima s visokim udjelom nestalnih obnovljivih izvora energije (sunce i vjetar)</w:t>
      </w:r>
      <w:r w:rsidR="007F42B8" w:rsidRPr="00654E3B">
        <w:rPr>
          <w:rFonts w:cs="Times New Roman"/>
        </w:rPr>
        <w:t>,</w:t>
      </w:r>
      <w:r w:rsidRPr="00654E3B">
        <w:rPr>
          <w:rFonts w:cs="Times New Roman"/>
        </w:rPr>
        <w:t xml:space="preserve"> jer omogućava korištenje pohranjene energije u razdobljima niže raspoloživosti obnovljivog energenta. Osim toga, korištenjem sustava za pohranu energije odgađa se i smanjuje potreba za izgradnjom novih elektrana, jer se pohranjena energija koristi u razdobljima povećanog opterećenja sustava. Također, sustavi za pohranu energije imati će važnu ulogu u podupiranju proizvodnje električne energije za vlastite potrebe i omogućiti malim proizvođačima veće korištenje energije koju su sami proizveli. Potreba izgradnje spremnika energije (baterija) za uravnoteženje sustava, osobito je izražena nakon 2030. godine.</w:t>
      </w:r>
    </w:p>
    <w:p w:rsidR="007D4A93" w:rsidRPr="00654E3B" w:rsidRDefault="00EF0BEB">
      <w:pPr>
        <w:rPr>
          <w:rFonts w:cs="Times New Roman"/>
        </w:rPr>
      </w:pPr>
      <w:r w:rsidRPr="00654E3B">
        <w:rPr>
          <w:rFonts w:cs="Times New Roman"/>
          <w:b/>
        </w:rPr>
        <w:t>Centralizirati toplinski sustav (CTS).</w:t>
      </w:r>
      <w:r w:rsidRPr="00654E3B">
        <w:rPr>
          <w:rFonts w:cs="Times New Roman"/>
        </w:rPr>
        <w:t xml:space="preserve"> Pri razmatranju CTS-a, za glavnu okosnicu se smatraju sustavi s kogeneracijom i njihovo poboljšanje tehnologijama za spremanje toplinske energije u trenucima kad je električna energija jeftina. Adekvatni toplinski spremnici mogu se dodati na sve lokacije koje imaju potrebe za toplinskom energijom, a prije svega kod kogeneracijskih postrojenja na plin ili biomasu</w:t>
      </w:r>
      <w:r w:rsidR="007F42B8" w:rsidRPr="00654E3B">
        <w:rPr>
          <w:rFonts w:cs="Times New Roman"/>
        </w:rPr>
        <w:t>,</w:t>
      </w:r>
      <w:r w:rsidRPr="00654E3B">
        <w:rPr>
          <w:rFonts w:cs="Times New Roman"/>
        </w:rPr>
        <w:t xml:space="preserve"> koja imaju mogućnost brzih promjena u proizvodnji električne i toplinske energije.</w:t>
      </w:r>
    </w:p>
    <w:p w:rsidR="007D4A93" w:rsidRPr="00654E3B" w:rsidRDefault="00EF0BEB">
      <w:pPr>
        <w:rPr>
          <w:rFonts w:cs="Times New Roman"/>
        </w:rPr>
      </w:pPr>
      <w:r w:rsidRPr="00654E3B">
        <w:rPr>
          <w:rFonts w:cs="Times New Roman"/>
          <w:b/>
        </w:rPr>
        <w:t>Korištenje goriva s manjom specifičnom emisijom CO</w:t>
      </w:r>
      <w:r w:rsidRPr="00654E3B">
        <w:rPr>
          <w:rFonts w:cs="Times New Roman"/>
          <w:b/>
          <w:vertAlign w:val="subscript"/>
        </w:rPr>
        <w:t>2</w:t>
      </w:r>
      <w:r w:rsidRPr="00654E3B">
        <w:rPr>
          <w:rFonts w:cs="Times New Roman"/>
          <w:b/>
        </w:rPr>
        <w:t xml:space="preserve">. </w:t>
      </w:r>
      <w:r w:rsidRPr="00654E3B">
        <w:rPr>
          <w:rFonts w:cs="Times New Roman"/>
        </w:rPr>
        <w:t>Zamjena goriva u postojećim postrojenjima za proizvodnju električne energije i topline.</w:t>
      </w:r>
    </w:p>
    <w:p w:rsidR="007D4A93" w:rsidRPr="00654E3B" w:rsidRDefault="00EF0BEB" w:rsidP="00F01191">
      <w:pPr>
        <w:rPr>
          <w:rFonts w:cs="Times New Roman"/>
        </w:rPr>
      </w:pPr>
      <w:r w:rsidRPr="00654E3B">
        <w:rPr>
          <w:rFonts w:cs="Times New Roman"/>
          <w:b/>
        </w:rPr>
        <w:t>Elektrane na loživo ulje.</w:t>
      </w:r>
      <w:r w:rsidRPr="00654E3B">
        <w:rPr>
          <w:rFonts w:cs="Times New Roman"/>
        </w:rPr>
        <w:t xml:space="preserve"> Postojeće termoelektrane na loživo ulje izlaze iz pogona do 2025. godine. Ove elektrane već danas se ne koriste u redovitom pogonu jer visokim proizvodnim troškom ne mogu konkurirati ostalim opcijama na tržištu. </w:t>
      </w:r>
    </w:p>
    <w:p w:rsidR="007D4A93" w:rsidRPr="00D27803" w:rsidRDefault="00EF0BEB" w:rsidP="00D27803">
      <w:pPr>
        <w:rPr>
          <w:rFonts w:cs="Times New Roman"/>
          <w:b/>
        </w:rPr>
      </w:pPr>
      <w:r w:rsidRPr="00654E3B">
        <w:rPr>
          <w:rFonts w:cs="Times New Roman"/>
          <w:b/>
        </w:rPr>
        <w:t>Elektrane na ugljen.</w:t>
      </w:r>
      <w:r w:rsidRPr="00D27803">
        <w:rPr>
          <w:rFonts w:cs="Times New Roman"/>
          <w:b/>
        </w:rPr>
        <w:t xml:space="preserve"> </w:t>
      </w:r>
      <w:r w:rsidRPr="00F01191">
        <w:rPr>
          <w:rFonts w:cs="Times New Roman"/>
        </w:rPr>
        <w:t xml:space="preserve">Glavni cjenovni signal za </w:t>
      </w:r>
      <w:r w:rsidRPr="00D27803">
        <w:rPr>
          <w:rFonts w:cs="Times New Roman"/>
        </w:rPr>
        <w:t>manje investiranje u nove ugljene elektrane</w:t>
      </w:r>
      <w:r w:rsidRPr="00F01191">
        <w:rPr>
          <w:rFonts w:cs="Times New Roman"/>
        </w:rPr>
        <w:t xml:space="preserve"> je cijena električne energije na tržištu i cijena </w:t>
      </w:r>
      <w:r w:rsidR="00F711F4" w:rsidRPr="00F01191">
        <w:rPr>
          <w:rFonts w:cs="Times New Roman"/>
        </w:rPr>
        <w:t>emisijskih jedinica</w:t>
      </w:r>
      <w:r w:rsidRPr="00654E3B">
        <w:rPr>
          <w:rFonts w:cs="Times New Roman"/>
        </w:rPr>
        <w:t>, čime ugljene elektrane prestaju biti dovoljno konkurentne, unatoč relativno jeftinom energentu. Niskougljična strategija ne predviđa izgradnju novih termoelektrana na ugljen</w:t>
      </w:r>
      <w:r w:rsidR="007F42B8" w:rsidRPr="00654E3B">
        <w:rPr>
          <w:rFonts w:cs="Times New Roman"/>
        </w:rPr>
        <w:t>. P</w:t>
      </w:r>
      <w:r w:rsidRPr="00654E3B">
        <w:rPr>
          <w:rFonts w:cs="Times New Roman"/>
        </w:rPr>
        <w:t>ostojeće termoelektrane mogu održati svoju konkurentnu poziciju, no u krajnjim godinama njihova tehničkog vijeka angažman bi mogao biti vrlo smanjen.</w:t>
      </w:r>
      <w:r w:rsidRPr="00D27803">
        <w:rPr>
          <w:rFonts w:cs="Times New Roman"/>
          <w:b/>
        </w:rPr>
        <w:t xml:space="preserve"> </w:t>
      </w:r>
    </w:p>
    <w:p w:rsidR="007D4A93" w:rsidRPr="00D27803" w:rsidRDefault="00EF0BEB" w:rsidP="00D27803">
      <w:pPr>
        <w:rPr>
          <w:rFonts w:cs="Times New Roman"/>
          <w:b/>
        </w:rPr>
      </w:pPr>
      <w:r w:rsidRPr="00F01191">
        <w:rPr>
          <w:rFonts w:cs="Times New Roman"/>
          <w:b/>
        </w:rPr>
        <w:t xml:space="preserve">Elektrane na prirodni plin. </w:t>
      </w:r>
      <w:r w:rsidRPr="00654E3B">
        <w:rPr>
          <w:rFonts w:cs="Times New Roman"/>
        </w:rPr>
        <w:t xml:space="preserve">Prirodni plin je vrlo važan energent u tranziciji prema sustavima s visokim udjelima varijabilnih OIE, zbog zastupljenosti u kogeneracijskim postrojenjima te sudjelovanju u regulaciji elektroenergetskog sustava. Međutim, u scenarijima s projiciranim rastom cijena energenata i </w:t>
      </w:r>
      <w:r w:rsidR="00F711F4" w:rsidRPr="00654E3B">
        <w:rPr>
          <w:rFonts w:cs="Times New Roman"/>
        </w:rPr>
        <w:t>emisijskih jedinica</w:t>
      </w:r>
      <w:r w:rsidRPr="00654E3B">
        <w:rPr>
          <w:rFonts w:cs="Times New Roman"/>
        </w:rPr>
        <w:t xml:space="preserve">, očekivani sati rada plinskih elektrana su ispod financijski poželjnog angažmana, </w:t>
      </w:r>
      <w:r w:rsidR="007F42B8" w:rsidRPr="00654E3B">
        <w:rPr>
          <w:rFonts w:cs="Times New Roman"/>
        </w:rPr>
        <w:t xml:space="preserve">te </w:t>
      </w:r>
      <w:r w:rsidRPr="00654E3B">
        <w:rPr>
          <w:rFonts w:cs="Times New Roman"/>
        </w:rPr>
        <w:t>isplativost ovih investicija postaje snažno vezana uz pomoćne regulacijske usluge. Plinske jedinice se koriste za osiguranje rezerve sustava</w:t>
      </w:r>
      <w:r w:rsidR="007F42B8" w:rsidRPr="00654E3B">
        <w:rPr>
          <w:rFonts w:cs="Times New Roman"/>
        </w:rPr>
        <w:t>,</w:t>
      </w:r>
      <w:r w:rsidRPr="00654E3B">
        <w:rPr>
          <w:rFonts w:cs="Times New Roman"/>
        </w:rPr>
        <w:t xml:space="preserve"> zbog niskih specifičnih troškova ulaganja, brzine izgradnje i brzine odziva u slučaju angažiranja. Lokacije postojećih elektrana na kojima pojedini blokovi izlaze iz pogona</w:t>
      </w:r>
      <w:r w:rsidR="007F42B8" w:rsidRPr="00654E3B">
        <w:rPr>
          <w:rFonts w:cs="Times New Roman"/>
        </w:rPr>
        <w:t>,</w:t>
      </w:r>
      <w:r w:rsidRPr="00654E3B">
        <w:rPr>
          <w:rFonts w:cs="Times New Roman"/>
        </w:rPr>
        <w:t xml:space="preserve"> mogu se iskoristiti za izgradnju novih jedinica s obzirom da na njima već postoje određeni infrastrukturni preduvjeti.</w:t>
      </w:r>
    </w:p>
    <w:p w:rsidR="007D4A93" w:rsidRPr="00654E3B" w:rsidRDefault="00EF0BEB">
      <w:pPr>
        <w:rPr>
          <w:rFonts w:cs="Times New Roman"/>
        </w:rPr>
      </w:pPr>
      <w:r w:rsidRPr="00F01191">
        <w:rPr>
          <w:rFonts w:cs="Times New Roman"/>
          <w:b/>
        </w:rPr>
        <w:lastRenderedPageBreak/>
        <w:t>Tehnologija hvatanja i geološkog skladištenja CO</w:t>
      </w:r>
      <w:r w:rsidRPr="00F01191">
        <w:rPr>
          <w:rFonts w:cs="Times New Roman"/>
          <w:b/>
          <w:vertAlign w:val="subscript"/>
        </w:rPr>
        <w:t>2.</w:t>
      </w:r>
      <w:r w:rsidRPr="00654E3B">
        <w:rPr>
          <w:rFonts w:cs="Times New Roman"/>
        </w:rPr>
        <w:t xml:space="preserve"> Republika Hrvatska ima tehničke i prirodne preduvjete za korištenje tehnologije Hvatanja i skladištenja ugljikovog dioksida (CCS). Na razvoj sustava za hvatanje i geološko skladištenje CO</w:t>
      </w:r>
      <w:r w:rsidRPr="00654E3B">
        <w:rPr>
          <w:rFonts w:cs="Times New Roman"/>
          <w:vertAlign w:val="subscript"/>
        </w:rPr>
        <w:t>2</w:t>
      </w:r>
      <w:r w:rsidRPr="00654E3B">
        <w:rPr>
          <w:rFonts w:cs="Times New Roman"/>
        </w:rPr>
        <w:t xml:space="preserve"> se danas gleda kao na prijelazno rješenje</w:t>
      </w:r>
      <w:r w:rsidR="007F42B8" w:rsidRPr="00654E3B">
        <w:rPr>
          <w:rFonts w:cs="Times New Roman"/>
        </w:rPr>
        <w:t>,</w:t>
      </w:r>
      <w:r w:rsidRPr="00654E3B">
        <w:rPr>
          <w:rFonts w:cs="Times New Roman"/>
        </w:rPr>
        <w:t xml:space="preserve"> koje bi u predstojeća 3-4 desetljeća trebalo omogućiti nastavak korištenja fosilnih goriva s određenim udjelom u ukupnoj proizvodnji električne energije</w:t>
      </w:r>
      <w:r w:rsidR="007F42B8" w:rsidRPr="00654E3B">
        <w:rPr>
          <w:rFonts w:cs="Times New Roman"/>
        </w:rPr>
        <w:t>,</w:t>
      </w:r>
      <w:r w:rsidRPr="00654E3B">
        <w:rPr>
          <w:rFonts w:cs="Times New Roman"/>
        </w:rPr>
        <w:t xml:space="preserve"> uz istovremeno postupno smanjenje emisije stakleničkih plinova</w:t>
      </w:r>
      <w:r w:rsidR="007F42B8" w:rsidRPr="00654E3B">
        <w:rPr>
          <w:rFonts w:cs="Times New Roman"/>
        </w:rPr>
        <w:t>,</w:t>
      </w:r>
      <w:r w:rsidRPr="00654E3B">
        <w:rPr>
          <w:rFonts w:cs="Times New Roman"/>
        </w:rPr>
        <w:t xml:space="preserve"> dok se ne postignu tehnološki i organizacijski uvjeti za niskougljični razvoj. Scenarij NU1 ostvariv je bez CCS-a, </w:t>
      </w:r>
      <w:r w:rsidR="007F42B8" w:rsidRPr="00654E3B">
        <w:rPr>
          <w:rFonts w:cs="Times New Roman"/>
        </w:rPr>
        <w:t xml:space="preserve">a </w:t>
      </w:r>
      <w:r w:rsidRPr="00654E3B">
        <w:rPr>
          <w:rFonts w:cs="Times New Roman"/>
        </w:rPr>
        <w:t>u scenariju NU2 pojavljuje se potreba za CCS-om na plinskim elektranama i cementnoj industriji u godinama nakon 2040. godine.</w:t>
      </w:r>
    </w:p>
    <w:p w:rsidR="009F6651" w:rsidRDefault="00EF0BEB" w:rsidP="009F6651">
      <w:r w:rsidRPr="00654E3B">
        <w:rPr>
          <w:b/>
        </w:rPr>
        <w:t>Nuklearne elektrane.</w:t>
      </w:r>
      <w:r w:rsidRPr="00D27803">
        <w:rPr>
          <w:b/>
        </w:rPr>
        <w:t xml:space="preserve"> </w:t>
      </w:r>
      <w:r w:rsidRPr="00F01191">
        <w:t>Predviđa se da će Nuklearna elektrana (NE) Krško raditi do 2043. godine. Simulacije pokazuju da će do 2043. godine NE Krško, bez emisije CO</w:t>
      </w:r>
      <w:r w:rsidRPr="00D27803">
        <w:t>2</w:t>
      </w:r>
      <w:r w:rsidRPr="00F01191">
        <w:t xml:space="preserve"> isporučiti u sustav Republike Hrvatske više energije nego proizvodnja svih termoelektrana zajedno, a oko pedeset posto ukupne energije proizvedene iz sunčanih elektrana i vjetra. U niskougljičnim scenarijima je konzervativno pretpostavljen izlazak iz pogona NE Krško do 2043. godine.</w:t>
      </w:r>
    </w:p>
    <w:p w:rsidR="007D4A93" w:rsidRPr="00654E3B" w:rsidRDefault="00EF0BEB" w:rsidP="00C05B00">
      <w:pPr>
        <w:pStyle w:val="Heading3"/>
      </w:pPr>
      <w:bookmarkStart w:id="226" w:name="_Toc69810167"/>
      <w:r w:rsidRPr="00F01191">
        <w:t>6.1.3. Smjernice za niskou</w:t>
      </w:r>
      <w:r w:rsidRPr="00654E3B">
        <w:t>gljični razvoj</w:t>
      </w:r>
      <w:bookmarkEnd w:id="226"/>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Do 2030. godine</w:t>
      </w:r>
    </w:p>
    <w:p w:rsidR="007D4A93" w:rsidRPr="00654E3B" w:rsidRDefault="00EF0BEB" w:rsidP="000C6795">
      <w:pPr>
        <w:pStyle w:val="ListParagraph"/>
        <w:numPr>
          <w:ilvl w:val="0"/>
          <w:numId w:val="31"/>
        </w:numPr>
        <w:rPr>
          <w:rFonts w:cs="Times New Roman"/>
        </w:rPr>
      </w:pPr>
      <w:r w:rsidRPr="00654E3B">
        <w:rPr>
          <w:rFonts w:cs="Times New Roman"/>
        </w:rPr>
        <w:t>Proizvođači električne energije koji će još uvijek neko vrijeme koristiti fosilno gorivo</w:t>
      </w:r>
      <w:r w:rsidR="007F42B8" w:rsidRPr="00654E3B">
        <w:rPr>
          <w:rFonts w:cs="Times New Roman"/>
        </w:rPr>
        <w:t>,</w:t>
      </w:r>
      <w:r w:rsidRPr="00654E3B">
        <w:rPr>
          <w:rFonts w:cs="Times New Roman"/>
        </w:rPr>
        <w:t xml:space="preserve"> trebaju u svojem planiranju uzeti u obzir očekivani prorast cijena </w:t>
      </w:r>
      <w:r w:rsidR="00F711F4" w:rsidRPr="00654E3B">
        <w:rPr>
          <w:rFonts w:cs="Times New Roman"/>
        </w:rPr>
        <w:t>emisijskih jedinica</w:t>
      </w:r>
      <w:r w:rsidRPr="00654E3B">
        <w:rPr>
          <w:rFonts w:cs="Times New Roman"/>
        </w:rPr>
        <w:t>. Besplatne jedinice će dobivati jedino toplane, u dijelu isporuke topline za kućanstva i usluge.</w:t>
      </w:r>
    </w:p>
    <w:p w:rsidR="007D4A93" w:rsidRPr="00654E3B" w:rsidRDefault="00EF0BEB" w:rsidP="000C6795">
      <w:pPr>
        <w:pStyle w:val="ListParagraph"/>
        <w:numPr>
          <w:ilvl w:val="0"/>
          <w:numId w:val="31"/>
        </w:numPr>
        <w:rPr>
          <w:rFonts w:cs="Times New Roman"/>
        </w:rPr>
      </w:pPr>
      <w:r w:rsidRPr="00654E3B">
        <w:rPr>
          <w:rFonts w:cs="Times New Roman"/>
        </w:rPr>
        <w:t>Ukoliko se u tijeku razdoblja do 2030. godine odluči za put prema niskougljičnom gospodarstvu</w:t>
      </w:r>
      <w:r w:rsidR="007F42B8" w:rsidRPr="00654E3B">
        <w:rPr>
          <w:rFonts w:cs="Times New Roman"/>
        </w:rPr>
        <w:t>,</w:t>
      </w:r>
      <w:r w:rsidRPr="00654E3B">
        <w:rPr>
          <w:rFonts w:cs="Times New Roman"/>
        </w:rPr>
        <w:t xml:space="preserve"> smjerom scenarija NU2 nakon 2030. godine, što znači i širu primjenu CCS tehnologije, sve postojeće i nove elektrane na fosilna goriva trebat će ispitati mogućnost primjene CCS tehnologije. </w:t>
      </w:r>
    </w:p>
    <w:p w:rsidR="007D4A93" w:rsidRPr="00654E3B" w:rsidRDefault="00EF0BEB" w:rsidP="000C6795">
      <w:pPr>
        <w:pStyle w:val="ListParagraph"/>
        <w:numPr>
          <w:ilvl w:val="0"/>
          <w:numId w:val="31"/>
        </w:numPr>
        <w:spacing w:line="240" w:lineRule="auto"/>
        <w:rPr>
          <w:rFonts w:cs="Times New Roman"/>
        </w:rPr>
      </w:pPr>
      <w:r w:rsidRPr="00654E3B">
        <w:rPr>
          <w:rFonts w:cs="Times New Roman"/>
        </w:rPr>
        <w:t>Analizirati inovativne modele poticanja OIE, posebice kroz modele građanske energije iz OIE i izraditi program razvoja prikladan hrvatskim prilikama, s ciljem razvoja projekata OIE s većom participacijom lokalnog stanovništva u vlasničkom, upravljačkom i prihodovnom  pogledu</w:t>
      </w:r>
      <w:r w:rsidR="007F42B8" w:rsidRPr="00654E3B">
        <w:rPr>
          <w:rFonts w:cs="Times New Roman"/>
        </w:rPr>
        <w:t>,</w:t>
      </w:r>
      <w:r w:rsidRPr="00654E3B">
        <w:rPr>
          <w:rFonts w:cs="Times New Roman"/>
        </w:rPr>
        <w:t xml:space="preserve"> kako bi se proširile koristi poticanja OIE.</w:t>
      </w:r>
    </w:p>
    <w:p w:rsidR="007D4A93" w:rsidRPr="00654E3B" w:rsidRDefault="00EF0BEB" w:rsidP="000C6795">
      <w:pPr>
        <w:pStyle w:val="ListParagraph"/>
        <w:numPr>
          <w:ilvl w:val="0"/>
          <w:numId w:val="31"/>
        </w:numPr>
        <w:rPr>
          <w:rFonts w:cs="Times New Roman"/>
        </w:rPr>
      </w:pPr>
      <w:r w:rsidRPr="00654E3B">
        <w:rPr>
          <w:rFonts w:cs="Times New Roman"/>
        </w:rPr>
        <w:t xml:space="preserve">Potrebno je kontinuirano planirati razvoj i izgradnju elektroenergetske mreže za integraciju obnovljivih izvora energije, razvoj decentralizirane i centralizirane pohrane električne energije, širenje naprednih mreža i pametnih sustava. Vezano za integraciju obnovljivih izvora energije, tržišna vrijednost rezervne raspoložive snage u sustavu konvencionalnih elektrana, treba biti adekvatno vrednovana kako bi se omogućile investicije u takve izvore. </w:t>
      </w:r>
    </w:p>
    <w:p w:rsidR="007D4A93" w:rsidRPr="00654E3B" w:rsidRDefault="00EF0BEB" w:rsidP="000C6795">
      <w:pPr>
        <w:pStyle w:val="ListParagraph"/>
        <w:numPr>
          <w:ilvl w:val="0"/>
          <w:numId w:val="31"/>
        </w:numPr>
        <w:rPr>
          <w:rFonts w:cs="Times New Roman"/>
        </w:rPr>
      </w:pPr>
      <w:r w:rsidRPr="00654E3B">
        <w:rPr>
          <w:rFonts w:cs="Times New Roman"/>
        </w:rPr>
        <w:t>Razvoj projekata integriranih sustava i višenamjenska rješenja proizvodnje električne energije, vodno-regulacijskih zahvata, agroekoloških mjera, turističke i druge namjene</w:t>
      </w:r>
      <w:r w:rsidR="007F42B8" w:rsidRPr="00654E3B">
        <w:rPr>
          <w:rFonts w:cs="Times New Roman"/>
        </w:rPr>
        <w:t>,</w:t>
      </w:r>
      <w:r w:rsidRPr="00654E3B">
        <w:rPr>
          <w:rFonts w:cs="Times New Roman"/>
        </w:rPr>
        <w:t xml:space="preserve"> treba vrednovati kroz opće društvene koristi (analiza troškova i koristi) i u tom smislu odlučiti o oblicima poticanja. Početak korištenja financijskih sredstava iz Fonda za modernizaciju, </w:t>
      </w:r>
      <w:r w:rsidR="007F42B8" w:rsidRPr="00654E3B">
        <w:rPr>
          <w:rFonts w:cs="Times New Roman"/>
        </w:rPr>
        <w:t xml:space="preserve">je </w:t>
      </w:r>
      <w:r w:rsidRPr="00654E3B">
        <w:rPr>
          <w:rFonts w:cs="Times New Roman"/>
        </w:rPr>
        <w:t xml:space="preserve">u skladu sa Zakonom o klimatskim promjenama i zaštiti ozonskog sloja. U ovome je prilika za javno </w:t>
      </w:r>
      <w:r w:rsidR="00714741" w:rsidRPr="00654E3B">
        <w:rPr>
          <w:rFonts w:cs="Times New Roman"/>
        </w:rPr>
        <w:t xml:space="preserve">- </w:t>
      </w:r>
      <w:r w:rsidRPr="00654E3B">
        <w:rPr>
          <w:rFonts w:cs="Times New Roman"/>
        </w:rPr>
        <w:t>privatno partnerstvo i financiranje iz različitih fondova sa sinergijom djelovanja.</w:t>
      </w:r>
    </w:p>
    <w:p w:rsidR="007D4A93" w:rsidRPr="00654E3B" w:rsidRDefault="00EF0BEB" w:rsidP="000C6795">
      <w:pPr>
        <w:pStyle w:val="ListParagraph"/>
        <w:numPr>
          <w:ilvl w:val="0"/>
          <w:numId w:val="31"/>
        </w:numPr>
        <w:spacing w:line="240" w:lineRule="auto"/>
        <w:rPr>
          <w:rFonts w:cs="Times New Roman"/>
        </w:rPr>
      </w:pPr>
      <w:r w:rsidRPr="00654E3B">
        <w:rPr>
          <w:rFonts w:cs="Times New Roman"/>
        </w:rPr>
        <w:t xml:space="preserve">Potrebno je kontinuirano raditi na procjeni potencijala obnovljivih izvora energije, kartiranju potencijala, </w:t>
      </w:r>
      <w:r w:rsidR="007F42B8" w:rsidRPr="00654E3B">
        <w:rPr>
          <w:rFonts w:cs="Times New Roman"/>
        </w:rPr>
        <w:t xml:space="preserve">a </w:t>
      </w:r>
      <w:r w:rsidRPr="00654E3B">
        <w:rPr>
          <w:rFonts w:cs="Times New Roman"/>
        </w:rPr>
        <w:t>osobito hitno i detaljno treba obraditi potencijale biomase i odnosa sa LULUCF sektorom.</w:t>
      </w:r>
    </w:p>
    <w:p w:rsidR="007D4A93" w:rsidRPr="00654E3B" w:rsidRDefault="00EF0BEB" w:rsidP="000C6795">
      <w:pPr>
        <w:pStyle w:val="ListParagraph"/>
        <w:numPr>
          <w:ilvl w:val="0"/>
          <w:numId w:val="31"/>
        </w:numPr>
        <w:rPr>
          <w:rFonts w:cs="Times New Roman"/>
        </w:rPr>
      </w:pPr>
      <w:r w:rsidRPr="00654E3B">
        <w:rPr>
          <w:rFonts w:cs="Times New Roman"/>
        </w:rPr>
        <w:t>Program korištenja potencijala za učinkovitost u grijanju i hlađenju za razdoblje 20</w:t>
      </w:r>
      <w:r w:rsidR="003338D1" w:rsidRPr="00654E3B">
        <w:rPr>
          <w:rFonts w:cs="Times New Roman"/>
        </w:rPr>
        <w:t>21</w:t>
      </w:r>
      <w:r w:rsidRPr="00654E3B">
        <w:rPr>
          <w:rFonts w:cs="Times New Roman"/>
        </w:rPr>
        <w:t xml:space="preserve">. do 2030. godine treba biti u primjeni. </w:t>
      </w:r>
    </w:p>
    <w:p w:rsidR="007D4A93" w:rsidRPr="00654E3B" w:rsidRDefault="00EF0BEB" w:rsidP="000C6795">
      <w:pPr>
        <w:pStyle w:val="ListParagraph"/>
        <w:numPr>
          <w:ilvl w:val="0"/>
          <w:numId w:val="31"/>
        </w:numPr>
        <w:rPr>
          <w:rFonts w:cs="Times New Roman"/>
        </w:rPr>
      </w:pPr>
      <w:r w:rsidRPr="00654E3B">
        <w:rPr>
          <w:rFonts w:cs="Times New Roman"/>
        </w:rPr>
        <w:t>Potrebno je kontinuirano analizirati situaciju</w:t>
      </w:r>
      <w:r w:rsidR="007F42B8" w:rsidRPr="00654E3B">
        <w:rPr>
          <w:rFonts w:cs="Times New Roman"/>
        </w:rPr>
        <w:t>,</w:t>
      </w:r>
      <w:r w:rsidRPr="00654E3B">
        <w:rPr>
          <w:rFonts w:cs="Times New Roman"/>
        </w:rPr>
        <w:t xml:space="preserve"> te po potrebi unaprijediti modele kako bi se omogućio razvoj projekata OIE s participacijom lokalnog stanovništva, u vlasničko</w:t>
      </w:r>
      <w:r w:rsidR="00A21DCF" w:rsidRPr="00654E3B">
        <w:rPr>
          <w:rFonts w:cs="Times New Roman"/>
        </w:rPr>
        <w:t>m</w:t>
      </w:r>
      <w:r w:rsidRPr="00654E3B">
        <w:rPr>
          <w:rFonts w:cs="Times New Roman"/>
        </w:rPr>
        <w:t>, upravljačko</w:t>
      </w:r>
      <w:r w:rsidR="00A21DCF" w:rsidRPr="00654E3B">
        <w:rPr>
          <w:rFonts w:cs="Times New Roman"/>
        </w:rPr>
        <w:t>m</w:t>
      </w:r>
      <w:r w:rsidRPr="00654E3B">
        <w:rPr>
          <w:rFonts w:cs="Times New Roman"/>
        </w:rPr>
        <w:t xml:space="preserve"> i prihodovnom pogledu. Model poticanja proizvodnje</w:t>
      </w:r>
      <w:r w:rsidR="008D7D1F" w:rsidRPr="00654E3B">
        <w:rPr>
          <w:rFonts w:cs="Times New Roman"/>
        </w:rPr>
        <w:t xml:space="preserve"> električne energije prelazi s „feed-in“</w:t>
      </w:r>
      <w:r w:rsidRPr="00654E3B">
        <w:rPr>
          <w:rFonts w:cs="Times New Roman"/>
        </w:rPr>
        <w:t xml:space="preserve"> principa na premijski pristup kojim se cijena određuje konkurencijskim nadmetanjem. Pred kraj razdoblja do 2030. godine predviđa se da više neće biti poticaja za proizvodnju električne energije, prvo za vjetroelektrane i FN sustave.</w:t>
      </w:r>
    </w:p>
    <w:p w:rsidR="007D4A93" w:rsidRPr="00654E3B" w:rsidRDefault="00EF0BEB" w:rsidP="000C6795">
      <w:pPr>
        <w:pStyle w:val="ListParagraph"/>
        <w:numPr>
          <w:ilvl w:val="0"/>
          <w:numId w:val="31"/>
        </w:numPr>
        <w:rPr>
          <w:rFonts w:cs="Times New Roman"/>
        </w:rPr>
      </w:pPr>
      <w:r w:rsidRPr="00654E3B">
        <w:rPr>
          <w:rFonts w:cs="Times New Roman"/>
        </w:rPr>
        <w:t xml:space="preserve">Izgradnja mehanizama za kontinuirano ažuriranje tarifnog sustava za regulacijske usluge u proizvodnji električne energije, čime se trebaju održavati zdravi konkurentni tržišni uvjeti za različita tehnološka rješenja.   </w:t>
      </w:r>
    </w:p>
    <w:p w:rsidR="007D4A93" w:rsidRPr="00654E3B" w:rsidRDefault="00EF0BEB">
      <w:pPr>
        <w:rPr>
          <w:rFonts w:cs="Times New Roman"/>
          <w:szCs w:val="24"/>
          <w:u w:val="single"/>
        </w:rPr>
      </w:pPr>
      <w:r w:rsidRPr="00654E3B">
        <w:rPr>
          <w:rFonts w:cs="Times New Roman"/>
          <w:u w:val="single"/>
        </w:rPr>
        <w:lastRenderedPageBreak/>
        <w:t>Do 2050. godine</w:t>
      </w:r>
    </w:p>
    <w:p w:rsidR="007D4A93" w:rsidRPr="00654E3B" w:rsidRDefault="00EF0BEB" w:rsidP="000C6795">
      <w:pPr>
        <w:pStyle w:val="ListParagraph"/>
        <w:numPr>
          <w:ilvl w:val="0"/>
          <w:numId w:val="32"/>
        </w:numPr>
        <w:rPr>
          <w:rFonts w:eastAsia="MS Mincho" w:cs="Times New Roman"/>
          <w:lang w:eastAsia="ja-JP"/>
        </w:rPr>
      </w:pPr>
      <w:r w:rsidRPr="00654E3B">
        <w:rPr>
          <w:rFonts w:cs="Times New Roman"/>
        </w:rPr>
        <w:t xml:space="preserve">Električna energija će postati dominantni oblik energije. </w:t>
      </w:r>
    </w:p>
    <w:p w:rsidR="007D4A93" w:rsidRPr="00654E3B" w:rsidRDefault="00EF0BEB" w:rsidP="000C6795">
      <w:pPr>
        <w:pStyle w:val="ListParagraph"/>
        <w:numPr>
          <w:ilvl w:val="0"/>
          <w:numId w:val="32"/>
        </w:numPr>
        <w:rPr>
          <w:rFonts w:eastAsia="MS Mincho" w:cs="Times New Roman"/>
          <w:lang w:eastAsia="ja-JP"/>
        </w:rPr>
      </w:pPr>
      <w:r w:rsidRPr="00654E3B">
        <w:rPr>
          <w:rFonts w:cs="Times New Roman"/>
        </w:rPr>
        <w:t>Izgradnja novih kapaciteta</w:t>
      </w:r>
      <w:r w:rsidRPr="00654E3B">
        <w:rPr>
          <w:rFonts w:cs="Times New Roman"/>
          <w:lang w:eastAsia="hr-HR"/>
        </w:rPr>
        <w:t xml:space="preserve"> obnovljivih izvora </w:t>
      </w:r>
      <w:r w:rsidRPr="00654E3B">
        <w:rPr>
          <w:rFonts w:cs="Times New Roman"/>
        </w:rPr>
        <w:t>podrazumijeva adekvatan razvoj elektroenergetske mreže za integraciju obnovljivih izvora energije, razvoj decentralizirane i centralizirane pohrane električne energije, širenje naprednih mreža i pametnih sustava te snažniju integraciju sa sektorom e-prometa i toplinskim sustavima.</w:t>
      </w:r>
    </w:p>
    <w:p w:rsidR="007D4A93" w:rsidRPr="00654E3B" w:rsidRDefault="00EF0BEB" w:rsidP="000C6795">
      <w:pPr>
        <w:pStyle w:val="ListParagraph"/>
        <w:numPr>
          <w:ilvl w:val="0"/>
          <w:numId w:val="32"/>
        </w:numPr>
        <w:rPr>
          <w:rFonts w:eastAsia="MS Mincho" w:cs="Times New Roman"/>
          <w:lang w:eastAsia="ja-JP"/>
        </w:rPr>
      </w:pPr>
      <w:r w:rsidRPr="00654E3B">
        <w:rPr>
          <w:rFonts w:eastAsia="MS Mincho" w:cs="Times New Roman"/>
          <w:lang w:eastAsia="ja-JP"/>
        </w:rPr>
        <w:t xml:space="preserve">Konkurentne mogu postati elektrane/kogeneracije koje koriste krutu biomasu i bioplin, vodik, sintetski plin i druga goriva dobivena kemijskim recikliranjem otpada </w:t>
      </w:r>
    </w:p>
    <w:p w:rsidR="007D4A93" w:rsidRPr="00654E3B" w:rsidRDefault="00EF0BEB">
      <w:pPr>
        <w:pStyle w:val="Heading2"/>
        <w:rPr>
          <w:rFonts w:ascii="Times New Roman" w:hAnsi="Times New Roman" w:cs="Times New Roman"/>
        </w:rPr>
      </w:pPr>
      <w:bookmarkStart w:id="227" w:name="_Toc20841304"/>
      <w:bookmarkStart w:id="228" w:name="_Toc20841410"/>
      <w:bookmarkStart w:id="229" w:name="_Toc69810168"/>
      <w:r w:rsidRPr="00654E3B">
        <w:rPr>
          <w:rFonts w:ascii="Times New Roman" w:hAnsi="Times New Roman" w:cs="Times New Roman"/>
        </w:rPr>
        <w:t xml:space="preserve">6.2. </w:t>
      </w:r>
      <w:r w:rsidRPr="00654E3B">
        <w:rPr>
          <w:rFonts w:ascii="Times New Roman" w:hAnsi="Times New Roman" w:cs="Times New Roman"/>
        </w:rPr>
        <w:tab/>
        <w:t>PROIZVODNJA I PRERADA GORIVA</w:t>
      </w:r>
      <w:bookmarkEnd w:id="227"/>
      <w:bookmarkEnd w:id="228"/>
      <w:bookmarkEnd w:id="229"/>
    </w:p>
    <w:p w:rsidR="007D4A93" w:rsidRPr="00654E3B" w:rsidRDefault="00EF0BEB" w:rsidP="009F6651">
      <w:pPr>
        <w:pStyle w:val="Heading3"/>
      </w:pPr>
      <w:bookmarkStart w:id="230" w:name="_Toc69810169"/>
      <w:r w:rsidRPr="00654E3B">
        <w:t>6.2.1. Emisije stakleničkih plinova</w:t>
      </w:r>
      <w:bookmarkEnd w:id="230"/>
    </w:p>
    <w:p w:rsidR="007D4A93" w:rsidRPr="00654E3B" w:rsidRDefault="007D4A93">
      <w:pPr>
        <w:rPr>
          <w:rFonts w:cs="Times New Roman"/>
        </w:rPr>
      </w:pPr>
    </w:p>
    <w:p w:rsidR="007D4A93" w:rsidRPr="00654E3B" w:rsidRDefault="00EF0BEB">
      <w:pPr>
        <w:rPr>
          <w:rFonts w:cs="Times New Roman"/>
        </w:rPr>
      </w:pPr>
      <w:r w:rsidRPr="00654E3B">
        <w:rPr>
          <w:rFonts w:cs="Times New Roman"/>
        </w:rPr>
        <w:t>U ovom dijelu su objedinjena tri sektora prema IPCC metodologiji: rafinerije, sektor proizvodnje krutih goriva i ostala energetska industrija te fugitivne emisije (emisije iz većeg broja malih izvora ili površina – isparavanje, propuštanje, ishlapljivanje i slično).</w:t>
      </w:r>
    </w:p>
    <w:p w:rsidR="007D4A93" w:rsidRPr="00654E3B" w:rsidRDefault="00EF0BEB">
      <w:pPr>
        <w:rPr>
          <w:rFonts w:cs="Times New Roman"/>
        </w:rPr>
      </w:pPr>
      <w:bookmarkStart w:id="231" w:name="_Hlk36802200"/>
      <w:r w:rsidRPr="00654E3B">
        <w:rPr>
          <w:rFonts w:cs="Times New Roman"/>
        </w:rPr>
        <w:t>Sektor proizvodnje i prerade nafte i plina čini 7,4</w:t>
      </w:r>
      <w:r w:rsidR="00060992" w:rsidRPr="00654E3B">
        <w:rPr>
          <w:rFonts w:cs="Times New Roman"/>
        </w:rPr>
        <w:t xml:space="preserve"> %</w:t>
      </w:r>
      <w:r w:rsidRPr="00654E3B">
        <w:rPr>
          <w:rFonts w:cs="Times New Roman"/>
        </w:rPr>
        <w:t xml:space="preserve"> emisije stakleničkih plinova Republike Hrvatske (2018. godina), od toga je 74,6</w:t>
      </w:r>
      <w:r w:rsidR="00060992" w:rsidRPr="00654E3B">
        <w:rPr>
          <w:rFonts w:cs="Times New Roman"/>
        </w:rPr>
        <w:t xml:space="preserve"> %</w:t>
      </w:r>
      <w:r w:rsidRPr="00654E3B">
        <w:rPr>
          <w:rFonts w:cs="Times New Roman"/>
        </w:rPr>
        <w:t xml:space="preserve"> emisija iz rafinerija. Iz ovog sektora 74,3</w:t>
      </w:r>
      <w:r w:rsidR="00060992" w:rsidRPr="00654E3B">
        <w:rPr>
          <w:rFonts w:cs="Times New Roman"/>
        </w:rPr>
        <w:t xml:space="preserve"> %</w:t>
      </w:r>
      <w:r w:rsidRPr="00654E3B">
        <w:rPr>
          <w:rFonts w:cs="Times New Roman"/>
        </w:rPr>
        <w:t xml:space="preserve"> emisija je obuhvaćeno ETS-om. Navedeno se odnosi na emisije od izgaranja goriva. </w:t>
      </w:r>
      <w:bookmarkEnd w:id="231"/>
    </w:p>
    <w:p w:rsidR="007D4A93" w:rsidRPr="00654E3B" w:rsidRDefault="00EF0BEB">
      <w:pPr>
        <w:rPr>
          <w:rFonts w:cs="Times New Roman"/>
        </w:rPr>
      </w:pPr>
      <w:r w:rsidRPr="00654E3B">
        <w:rPr>
          <w:rFonts w:cs="Times New Roman"/>
        </w:rPr>
        <w:t>Fugitivne emisije metana koje nastaju u procesu proizvodnje, transporta i distribucije fosilnih goriva obračunavaju se u posebnom sektoru fugitivnih emisija te čine dodatnih 1,7</w:t>
      </w:r>
      <w:r w:rsidR="00060992" w:rsidRPr="00654E3B">
        <w:rPr>
          <w:rFonts w:cs="Times New Roman"/>
        </w:rPr>
        <w:t xml:space="preserve"> %</w:t>
      </w:r>
      <w:r w:rsidRPr="00654E3B">
        <w:rPr>
          <w:rFonts w:cs="Times New Roman"/>
        </w:rPr>
        <w:t xml:space="preserve"> ukupnih emisija. Fugitivne emisije nisu obuhvaćene ETS-om.</w:t>
      </w:r>
    </w:p>
    <w:p w:rsidR="007D4A93" w:rsidRPr="00654E3B" w:rsidRDefault="00EF0BEB">
      <w:pPr>
        <w:rPr>
          <w:rFonts w:cs="Times New Roman"/>
          <w:lang w:eastAsia="hr-HR"/>
        </w:rPr>
      </w:pPr>
      <w:r w:rsidRPr="00654E3B">
        <w:rPr>
          <w:rFonts w:cs="Times New Roman"/>
        </w:rPr>
        <w:t>U ovom sektoru u scenarijima NU1 i NU2 postiže se smanjenje emisije od 55,8</w:t>
      </w:r>
      <w:r w:rsidR="00060992" w:rsidRPr="00654E3B">
        <w:rPr>
          <w:rFonts w:cs="Times New Roman"/>
        </w:rPr>
        <w:t xml:space="preserve"> %</w:t>
      </w:r>
      <w:r w:rsidRPr="00654E3B">
        <w:rPr>
          <w:rFonts w:cs="Times New Roman"/>
        </w:rPr>
        <w:t xml:space="preserve"> do 56,0</w:t>
      </w:r>
      <w:r w:rsidR="00060992" w:rsidRPr="00654E3B">
        <w:rPr>
          <w:rFonts w:cs="Times New Roman"/>
        </w:rPr>
        <w:t xml:space="preserve"> %</w:t>
      </w:r>
      <w:r w:rsidRPr="00654E3B">
        <w:rPr>
          <w:rFonts w:cs="Times New Roman"/>
        </w:rPr>
        <w:t xml:space="preserve"> u 2030. godini te od 74,7</w:t>
      </w:r>
      <w:r w:rsidR="00060992" w:rsidRPr="00654E3B">
        <w:rPr>
          <w:rFonts w:cs="Times New Roman"/>
        </w:rPr>
        <w:t xml:space="preserve"> %</w:t>
      </w:r>
      <w:r w:rsidRPr="00654E3B">
        <w:rPr>
          <w:rFonts w:cs="Times New Roman"/>
        </w:rPr>
        <w:t xml:space="preserve"> do 75,9</w:t>
      </w:r>
      <w:r w:rsidR="00060992" w:rsidRPr="00654E3B">
        <w:rPr>
          <w:rFonts w:cs="Times New Roman"/>
        </w:rPr>
        <w:t xml:space="preserve"> %</w:t>
      </w:r>
      <w:r w:rsidRPr="00654E3B">
        <w:rPr>
          <w:rFonts w:cs="Times New Roman"/>
        </w:rPr>
        <w:t xml:space="preserve"> u 2050. godini, u odnosu na 1990. godinu.</w:t>
      </w:r>
    </w:p>
    <w:p w:rsidR="007D4A93" w:rsidRPr="00654E3B" w:rsidRDefault="00EF0BEB" w:rsidP="009F6651">
      <w:pPr>
        <w:pStyle w:val="Heading3"/>
      </w:pPr>
      <w:bookmarkStart w:id="232" w:name="_Toc69810170"/>
      <w:r w:rsidRPr="00654E3B">
        <w:t>6.2.2. Politike i mjere za niskougljični razvoj</w:t>
      </w:r>
      <w:bookmarkEnd w:id="232"/>
    </w:p>
    <w:p w:rsidR="007D4A93" w:rsidRPr="00654E3B" w:rsidRDefault="007D4A93">
      <w:pPr>
        <w:rPr>
          <w:rFonts w:cs="Times New Roman"/>
        </w:rPr>
      </w:pPr>
    </w:p>
    <w:p w:rsidR="007D4A93" w:rsidRPr="00654E3B" w:rsidRDefault="00EF0BEB">
      <w:pPr>
        <w:rPr>
          <w:rFonts w:cs="Times New Roman"/>
          <w:b/>
          <w:u w:val="single"/>
        </w:rPr>
      </w:pPr>
      <w:r w:rsidRPr="00654E3B">
        <w:rPr>
          <w:rFonts w:cs="Times New Roman"/>
          <w:b/>
          <w:u w:val="single"/>
        </w:rPr>
        <w:t>Nafta i naftni derivati</w:t>
      </w:r>
    </w:p>
    <w:p w:rsidR="007D4A93" w:rsidRPr="00654E3B" w:rsidRDefault="00EF0BEB">
      <w:pPr>
        <w:rPr>
          <w:rFonts w:cs="Times New Roman"/>
        </w:rPr>
      </w:pPr>
      <w:r w:rsidRPr="00654E3B">
        <w:rPr>
          <w:rFonts w:cs="Times New Roman"/>
        </w:rPr>
        <w:t>U nadolazećem razdoblju politike dekarbonizacije energetskog sektora, naftni sektor bit će pod snažnim utjecajem povećanja korištenja alternativnih goriva, ali i povećanja energetske učinkovitosti te će se potrošnja naftnih derivata kontinuirano smanjivati. To će se naročito odraziti na rad rafinerija, transport i distribuciju nafte i naftnih derivata te tržište skladištenja.</w:t>
      </w:r>
    </w:p>
    <w:p w:rsidR="007D4A93" w:rsidRPr="00654E3B" w:rsidRDefault="00EF0BEB">
      <w:pPr>
        <w:rPr>
          <w:rFonts w:cs="Times New Roman"/>
        </w:rPr>
      </w:pPr>
      <w:r w:rsidRPr="00654E3B">
        <w:rPr>
          <w:rFonts w:cs="Times New Roman"/>
        </w:rPr>
        <w:t xml:space="preserve">Bez obzira na predviđeno smanjenje potrošnje naftnih derivata do 2030., odnosno 2050. godine, oni će još uvijek zauzimati značajni udio u ukupnoj potrošnji energije te je potrebno osigurati njihovu nesmetanu opskrbu. Strategija energetskog razvoja je utvrdila da je zbog smanjivanja opskrbljenosti domaćom proizvodnjom nafte, gospodarski je i energetski opravdano potaknuti dodatna ulaganja u postojeće proizvodne kapacitete i u nova istraživanja te ubrzati dovršetak modernizacije i/ili transformacija rafinerija s ciljem povećanja konkurentnosti na domaćem i stranim tržištima. </w:t>
      </w:r>
    </w:p>
    <w:p w:rsidR="007D4A93" w:rsidRPr="00654E3B" w:rsidRDefault="00EF0BEB">
      <w:pPr>
        <w:rPr>
          <w:rFonts w:cs="Times New Roman"/>
        </w:rPr>
      </w:pPr>
      <w:r w:rsidRPr="00654E3B">
        <w:rPr>
          <w:rFonts w:cs="Times New Roman"/>
        </w:rPr>
        <w:t>Godišnja proizvodnja naftnih derivata prema niskougljičnim scenarijima</w:t>
      </w:r>
      <w:r w:rsidR="00714741" w:rsidRPr="00654E3B">
        <w:rPr>
          <w:rFonts w:cs="Times New Roman"/>
        </w:rPr>
        <w:t>,</w:t>
      </w:r>
      <w:r w:rsidRPr="00654E3B">
        <w:rPr>
          <w:rFonts w:cs="Times New Roman"/>
        </w:rPr>
        <w:t xml:space="preserve"> bit će otprilike na razini današnje proizvodnje do 2030. godine</w:t>
      </w:r>
      <w:r w:rsidR="00714741" w:rsidRPr="00654E3B">
        <w:rPr>
          <w:rFonts w:cs="Times New Roman"/>
        </w:rPr>
        <w:t>,</w:t>
      </w:r>
      <w:r w:rsidRPr="00654E3B">
        <w:rPr>
          <w:rFonts w:cs="Times New Roman"/>
        </w:rPr>
        <w:t xml:space="preserve"> nakon čega slijedi postupni pad proizvodnje. Pad proizvodnje nakon 2030. godine uzrokovan je prvenstveno povećanjem broja električnih vozila i vozila na alternativno gorivo u cestovnom prometu.</w:t>
      </w:r>
    </w:p>
    <w:p w:rsidR="007D4A93" w:rsidRPr="00654E3B" w:rsidRDefault="00EF0BEB">
      <w:pPr>
        <w:rPr>
          <w:rFonts w:cs="Times New Roman"/>
        </w:rPr>
      </w:pPr>
      <w:r w:rsidRPr="00654E3B">
        <w:rPr>
          <w:rFonts w:cs="Times New Roman"/>
        </w:rPr>
        <w:t xml:space="preserve">Proizvodnja naftnih derivata pratit će smanjenje potrošnje derivata sve do 2035. godine. Nakon 2035. godine dolazi do smanjenja potrošnje naftnih derivata i povećanja neto izvoza. </w:t>
      </w:r>
    </w:p>
    <w:p w:rsidR="006E47A5" w:rsidRPr="00654E3B" w:rsidRDefault="007D4FCC">
      <w:pPr>
        <w:rPr>
          <w:rFonts w:cs="Times New Roman"/>
          <w:b/>
        </w:rPr>
      </w:pPr>
      <w:r w:rsidRPr="00654E3B">
        <w:rPr>
          <w:rFonts w:cs="Times New Roman"/>
        </w:rPr>
        <w:t>Bez obzira na predviđeno smanjenje prerade nafte u rafinerijama regije nakon 2030. godine, neće doći do smanjenja transporta nafte u uvjetima daljnje diversifikacije pravaca i izvora opskrbe rafinerija država jugoistočne i srednje Europe.</w:t>
      </w:r>
    </w:p>
    <w:p w:rsidR="007D4A93" w:rsidRPr="00654E3B" w:rsidRDefault="00EF0BEB">
      <w:pPr>
        <w:rPr>
          <w:rFonts w:cs="Times New Roman"/>
        </w:rPr>
      </w:pPr>
      <w:r w:rsidRPr="00654E3B">
        <w:rPr>
          <w:rFonts w:cs="Times New Roman"/>
          <w:b/>
        </w:rPr>
        <w:lastRenderedPageBreak/>
        <w:t>Rafinerije i biorafinerije</w:t>
      </w:r>
      <w:r w:rsidRPr="00654E3B">
        <w:rPr>
          <w:rFonts w:cs="Times New Roman"/>
        </w:rPr>
        <w:t xml:space="preserve"> Potrebne su značajne investicije u modernizaciju i unaprjeđenje proizvodnje kako bi se održala konkurentnost rafinerija. Međutim, važno je razmotriti modele </w:t>
      </w:r>
      <w:r w:rsidR="00714741" w:rsidRPr="00654E3B">
        <w:rPr>
          <w:rFonts w:cs="Times New Roman"/>
        </w:rPr>
        <w:t xml:space="preserve">diversifikacije </w:t>
      </w:r>
      <w:r w:rsidRPr="00654E3B">
        <w:rPr>
          <w:rFonts w:cs="Times New Roman"/>
        </w:rPr>
        <w:t>poslovanja u slučajevima kada investiranje nije opravdano</w:t>
      </w:r>
      <w:r w:rsidR="00714741" w:rsidRPr="00654E3B">
        <w:rPr>
          <w:rFonts w:cs="Times New Roman"/>
        </w:rPr>
        <w:t>.</w:t>
      </w:r>
    </w:p>
    <w:p w:rsidR="007D4A93" w:rsidRPr="00654E3B" w:rsidRDefault="00EF0BEB">
      <w:pPr>
        <w:rPr>
          <w:rFonts w:cs="Times New Roman"/>
        </w:rPr>
      </w:pPr>
      <w:r w:rsidRPr="00654E3B">
        <w:rPr>
          <w:rFonts w:cs="Times New Roman"/>
        </w:rPr>
        <w:t>Razvoj tehnologija za proizvodnju energije iz biomase se najviše usmjerava na sektor prometa</w:t>
      </w:r>
      <w:r w:rsidR="00714741" w:rsidRPr="00654E3B">
        <w:rPr>
          <w:rFonts w:cs="Times New Roman"/>
        </w:rPr>
        <w:t>,</w:t>
      </w:r>
      <w:r w:rsidRPr="00654E3B">
        <w:rPr>
          <w:rFonts w:cs="Times New Roman"/>
        </w:rPr>
        <w:t xml:space="preserve"> za proizvodnju naprednih biogoriva kroz sustav biorafinerija. </w:t>
      </w:r>
    </w:p>
    <w:p w:rsidR="007D4A93" w:rsidRPr="00654E3B" w:rsidRDefault="00EF0BEB">
      <w:pPr>
        <w:rPr>
          <w:rFonts w:cs="Times New Roman"/>
        </w:rPr>
      </w:pPr>
      <w:r w:rsidRPr="00654E3B">
        <w:rPr>
          <w:rFonts w:cs="Times New Roman"/>
        </w:rPr>
        <w:t>Potreban je sustav poticaja aktivnosti istraživanja u svrhu razvoja tehnologija za dobivanje naprednih biogoriva.</w:t>
      </w:r>
    </w:p>
    <w:p w:rsidR="007D4A93" w:rsidRPr="00654E3B" w:rsidRDefault="00EF0BEB">
      <w:pPr>
        <w:rPr>
          <w:rFonts w:cs="Times New Roman"/>
          <w:b/>
          <w:u w:val="single"/>
        </w:rPr>
      </w:pPr>
      <w:r w:rsidRPr="00654E3B">
        <w:rPr>
          <w:rFonts w:cs="Times New Roman"/>
          <w:b/>
          <w:u w:val="single"/>
        </w:rPr>
        <w:t>Prirodni plin</w:t>
      </w:r>
    </w:p>
    <w:p w:rsidR="007D4A93" w:rsidRPr="00654E3B" w:rsidRDefault="00EF0BEB">
      <w:pPr>
        <w:rPr>
          <w:rFonts w:cs="Times New Roman"/>
        </w:rPr>
      </w:pPr>
      <w:r w:rsidRPr="00654E3B">
        <w:rPr>
          <w:rFonts w:cs="Times New Roman"/>
        </w:rPr>
        <w:t>Razvoj plinskog sustava u Republici Hrvatskoj uvjetovan je razvojem tržišta plina i potrebom osiguravanja odgovarajuće razine sigurnosti opskrbe plinom. Potrebno je osigurati unutarnju operativnu sigurnost opskrbe plinom, kao i sigurnost dobave plina. Republika Hrvatska se u ovom trenutku opskrbljuje plinom iz domaće proizvodnje i iz uvoza preko dobavnih pravaca iz Slovenije i Mađarske, a vršne potrebe zadovoljava opskrbom iz podzemnog skladišta plina Okoli.</w:t>
      </w:r>
    </w:p>
    <w:p w:rsidR="007D4A93" w:rsidRPr="00654E3B" w:rsidRDefault="00EF0BEB">
      <w:pPr>
        <w:rPr>
          <w:rFonts w:cs="Times New Roman"/>
        </w:rPr>
      </w:pPr>
      <w:r w:rsidRPr="00654E3B">
        <w:rPr>
          <w:rFonts w:cs="Times New Roman"/>
        </w:rPr>
        <w:t>Republika Hrvatska trenutno bilježi trend smanjenja domaće proizvodnje prirodnog plina.</w:t>
      </w:r>
    </w:p>
    <w:p w:rsidR="007D4A93" w:rsidRPr="00654E3B" w:rsidRDefault="00EF0BEB">
      <w:pPr>
        <w:rPr>
          <w:rFonts w:cs="Times New Roman"/>
        </w:rPr>
      </w:pPr>
      <w:r w:rsidRPr="00654E3B">
        <w:rPr>
          <w:rFonts w:cs="Times New Roman"/>
        </w:rPr>
        <w:t>Daljnji razvoj transportnog plinskog sustava Republike Hrvatske</w:t>
      </w:r>
      <w:r w:rsidR="00714741" w:rsidRPr="00654E3B">
        <w:rPr>
          <w:rFonts w:cs="Times New Roman"/>
        </w:rPr>
        <w:t>,</w:t>
      </w:r>
      <w:r w:rsidRPr="00654E3B">
        <w:rPr>
          <w:rFonts w:cs="Times New Roman"/>
        </w:rPr>
        <w:t xml:space="preserve"> nužan je radi povećanja njegove tehničke sigurnosti, pouzdanosti opskrbe, tržišne prilagođenosti i učinkovitosti. Dakle, osim što je nužno da transportni plinski sustav, svojim kapacitetima i povezanošću s više izvora i pravaca dobave prirodnog plina, omogući nesmetanu opskrbu i u izvanrednim uvjetima</w:t>
      </w:r>
      <w:r w:rsidR="00714741" w:rsidRPr="00654E3B">
        <w:rPr>
          <w:rFonts w:cs="Times New Roman"/>
        </w:rPr>
        <w:t>,</w:t>
      </w:r>
      <w:r w:rsidRPr="00654E3B">
        <w:rPr>
          <w:rFonts w:cs="Times New Roman"/>
        </w:rPr>
        <w:t xml:space="preserve"> sustav mora omogućiti opskrbu po tržišno konkurentnim cijenama.</w:t>
      </w:r>
    </w:p>
    <w:p w:rsidR="007D4A93" w:rsidRPr="00654E3B" w:rsidRDefault="00EF0BEB">
      <w:pPr>
        <w:rPr>
          <w:rFonts w:cs="Times New Roman"/>
          <w:szCs w:val="24"/>
        </w:rPr>
      </w:pPr>
      <w:r w:rsidRPr="00654E3B">
        <w:rPr>
          <w:rFonts w:cs="Times New Roman"/>
          <w:szCs w:val="24"/>
        </w:rPr>
        <w:t>Razvoj sustava za skladištenje prirodnog plina</w:t>
      </w:r>
      <w:r w:rsidR="00714741" w:rsidRPr="00654E3B">
        <w:rPr>
          <w:rFonts w:cs="Times New Roman"/>
          <w:szCs w:val="24"/>
        </w:rPr>
        <w:t>,</w:t>
      </w:r>
      <w:r w:rsidRPr="00654E3B">
        <w:rPr>
          <w:rFonts w:cs="Times New Roman"/>
          <w:szCs w:val="24"/>
        </w:rPr>
        <w:t xml:space="preserve"> obuhvaća dogradnju postojećeg podzemnog skladišta plina, izgradnju i puštanje u rad novog (vršnog) podzemnog skladišta plina te potencijalnu izgradnju novog sezonskog skladišta plina sukladno mogućnostima i potrebama.</w:t>
      </w:r>
    </w:p>
    <w:p w:rsidR="007D4A93" w:rsidRPr="00654E3B" w:rsidRDefault="00EF0BEB">
      <w:pPr>
        <w:rPr>
          <w:rFonts w:cs="Times New Roman"/>
          <w:szCs w:val="24"/>
        </w:rPr>
      </w:pPr>
      <w:r w:rsidRPr="00654E3B">
        <w:rPr>
          <w:rFonts w:cs="Times New Roman"/>
          <w:b/>
          <w:szCs w:val="24"/>
        </w:rPr>
        <w:t xml:space="preserve">Terminal za ukapljeni prirodni plin. </w:t>
      </w:r>
      <w:r w:rsidRPr="00654E3B">
        <w:rPr>
          <w:rFonts w:cs="Times New Roman"/>
          <w:szCs w:val="24"/>
        </w:rPr>
        <w:t>Izgradnja terminala za ukapljeni prirodni plin (UPP)</w:t>
      </w:r>
      <w:r w:rsidR="00714741" w:rsidRPr="00654E3B">
        <w:rPr>
          <w:rFonts w:cs="Times New Roman"/>
          <w:szCs w:val="24"/>
        </w:rPr>
        <w:t>,</w:t>
      </w:r>
      <w:r w:rsidRPr="00654E3B">
        <w:rPr>
          <w:rFonts w:cs="Times New Roman"/>
          <w:szCs w:val="24"/>
        </w:rPr>
        <w:t xml:space="preserve"> jedan je od strateških projekata </w:t>
      </w:r>
      <w:r w:rsidRPr="00654E3B">
        <w:rPr>
          <w:rFonts w:cs="Times New Roman"/>
        </w:rPr>
        <w:t>Republike Hrvatske</w:t>
      </w:r>
      <w:r w:rsidRPr="00654E3B">
        <w:rPr>
          <w:rFonts w:cs="Times New Roman"/>
          <w:szCs w:val="24"/>
        </w:rPr>
        <w:t xml:space="preserve">. Osnovna namjena terminala za UPP je prihvat posebnih brodova za prijevoz UPP-a, pretakanje UPP-a u spremnike, skladištenje, isparavanje i isporuka prirodnog plina u plinovodnu mrežu i za distribuciju plina u brodskom prometu (bunkering). </w:t>
      </w:r>
    </w:p>
    <w:p w:rsidR="007D4A93" w:rsidRPr="00654E3B" w:rsidRDefault="00EF0BEB">
      <w:pPr>
        <w:rPr>
          <w:rFonts w:cs="Times New Roman"/>
          <w:szCs w:val="24"/>
        </w:rPr>
      </w:pPr>
      <w:r w:rsidRPr="00654E3B">
        <w:rPr>
          <w:rFonts w:cs="Times New Roman"/>
          <w:szCs w:val="24"/>
        </w:rPr>
        <w:t xml:space="preserve">Tvrtka LNG Hrvatska d.o.o. je osnovana s namjerom izgradnje i upravljanja </w:t>
      </w:r>
      <w:r w:rsidR="00714741" w:rsidRPr="00654E3B">
        <w:rPr>
          <w:rFonts w:cs="Times New Roman"/>
          <w:szCs w:val="24"/>
        </w:rPr>
        <w:t xml:space="preserve">infrastrukturom potrebnom </w:t>
      </w:r>
      <w:r w:rsidRPr="00654E3B">
        <w:rPr>
          <w:rFonts w:cs="Times New Roman"/>
          <w:szCs w:val="24"/>
        </w:rPr>
        <w:t>za prihvat, skladištenje i uplinjavanje UPP-a. Terminal za UPP nalazi se u općini</w:t>
      </w:r>
      <w:r w:rsidR="00714741" w:rsidRPr="00654E3B">
        <w:rPr>
          <w:rFonts w:cs="Times New Roman"/>
          <w:szCs w:val="24"/>
        </w:rPr>
        <w:t xml:space="preserve"> </w:t>
      </w:r>
      <w:r w:rsidRPr="00654E3B">
        <w:rPr>
          <w:rFonts w:cs="Times New Roman"/>
          <w:szCs w:val="24"/>
        </w:rPr>
        <w:t>Omišalj na otoku Krku. Projekt je važan čimbenik diversifikacije opskrbe prirodnim plinom i povećanja sigurnosti opskrbe u srednjoj i jugoistočnoj Europi.</w:t>
      </w:r>
    </w:p>
    <w:p w:rsidR="00A9370E" w:rsidRPr="00654E3B" w:rsidRDefault="00EF0BEB">
      <w:pPr>
        <w:rPr>
          <w:rFonts w:cs="Times New Roman"/>
          <w:szCs w:val="24"/>
        </w:rPr>
      </w:pPr>
      <w:r w:rsidRPr="00654E3B">
        <w:rPr>
          <w:rFonts w:cs="Times New Roman"/>
          <w:szCs w:val="24"/>
        </w:rPr>
        <w:t xml:space="preserve">Veličina terminala za UPP ovisi o zainteresiranosti tržišta te je u prvoj fazi </w:t>
      </w:r>
      <w:r w:rsidR="00EE3970" w:rsidRPr="00654E3B">
        <w:rPr>
          <w:rFonts w:cs="Times New Roman"/>
          <w:szCs w:val="24"/>
        </w:rPr>
        <w:t xml:space="preserve">izgrađen </w:t>
      </w:r>
      <w:r w:rsidRPr="00654E3B">
        <w:rPr>
          <w:rFonts w:cs="Times New Roman"/>
          <w:szCs w:val="24"/>
        </w:rPr>
        <w:t xml:space="preserve">FSRU brod (engl. </w:t>
      </w:r>
      <w:r w:rsidRPr="00654E3B">
        <w:rPr>
          <w:rFonts w:cs="Times New Roman"/>
          <w:i/>
          <w:szCs w:val="24"/>
        </w:rPr>
        <w:t>floating storage and regasification unit</w:t>
      </w:r>
      <w:r w:rsidRPr="00654E3B">
        <w:rPr>
          <w:rFonts w:cs="Times New Roman"/>
          <w:szCs w:val="24"/>
        </w:rPr>
        <w:t>, brod za skladištenje i uplinjavanje plina)</w:t>
      </w:r>
      <w:r w:rsidR="00714741" w:rsidRPr="00654E3B">
        <w:rPr>
          <w:rFonts w:cs="Times New Roman"/>
          <w:szCs w:val="24"/>
        </w:rPr>
        <w:t>,</w:t>
      </w:r>
      <w:r w:rsidRPr="00654E3B">
        <w:rPr>
          <w:rFonts w:cs="Times New Roman"/>
          <w:szCs w:val="24"/>
        </w:rPr>
        <w:t xml:space="preserve"> čija će maksimalna godišnja isporuka prirodnog plina iznositi do 2,6 milijarde kubičnih metara. Planirani maksimalni kapacitet isporuke prirodnog plina iz terminala, a posredno i njegova veličina i kapacitet, uvjetovan je maksimalnim kapacitetom plinovodnog sustava.</w:t>
      </w:r>
      <w:r w:rsidR="00A9370E" w:rsidRPr="00654E3B">
        <w:rPr>
          <w:rFonts w:cs="Times New Roman"/>
          <w:szCs w:val="24"/>
        </w:rPr>
        <w:t xml:space="preserve"> </w:t>
      </w:r>
    </w:p>
    <w:p w:rsidR="007D4A93" w:rsidRPr="00654E3B" w:rsidRDefault="00D86654">
      <w:pPr>
        <w:rPr>
          <w:rFonts w:cs="Times New Roman"/>
          <w:szCs w:val="24"/>
        </w:rPr>
      </w:pPr>
      <w:r w:rsidRPr="00654E3B">
        <w:rPr>
          <w:rFonts w:cs="Times New Roman"/>
          <w:szCs w:val="24"/>
        </w:rPr>
        <w:t>Terminal za UPP je</w:t>
      </w:r>
      <w:r w:rsidR="00EF0BEB" w:rsidRPr="00654E3B">
        <w:rPr>
          <w:rFonts w:cs="Times New Roman"/>
          <w:szCs w:val="24"/>
        </w:rPr>
        <w:t xml:space="preserve"> pušt</w:t>
      </w:r>
      <w:r w:rsidRPr="00654E3B">
        <w:rPr>
          <w:rFonts w:cs="Times New Roman"/>
          <w:szCs w:val="24"/>
        </w:rPr>
        <w:t>e</w:t>
      </w:r>
      <w:r w:rsidR="00EF0BEB" w:rsidRPr="00654E3B">
        <w:rPr>
          <w:rFonts w:cs="Times New Roman"/>
          <w:szCs w:val="24"/>
        </w:rPr>
        <w:t xml:space="preserve">n u pogon </w:t>
      </w:r>
      <w:r w:rsidRPr="00654E3B">
        <w:rPr>
          <w:rFonts w:cs="Times New Roman"/>
          <w:szCs w:val="24"/>
        </w:rPr>
        <w:t xml:space="preserve">u siječnju </w:t>
      </w:r>
      <w:r w:rsidR="00EF0BEB" w:rsidRPr="00654E3B">
        <w:rPr>
          <w:rFonts w:cs="Times New Roman"/>
          <w:szCs w:val="24"/>
        </w:rPr>
        <w:t>2021. godine.</w:t>
      </w:r>
    </w:p>
    <w:p w:rsidR="007D4A93" w:rsidRPr="00654E3B" w:rsidRDefault="00EF0BEB" w:rsidP="009F6651">
      <w:pPr>
        <w:pStyle w:val="Heading3"/>
      </w:pPr>
      <w:bookmarkStart w:id="233" w:name="_Toc69810171"/>
      <w:r w:rsidRPr="00654E3B">
        <w:t>6.2.3. Smjernice za niskougljični razvoj</w:t>
      </w:r>
      <w:bookmarkEnd w:id="233"/>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Do 2030. godine</w:t>
      </w:r>
    </w:p>
    <w:p w:rsidR="007D4A93" w:rsidRPr="00654E3B" w:rsidRDefault="00EF0BEB" w:rsidP="000C6795">
      <w:pPr>
        <w:pStyle w:val="ListParagraph"/>
        <w:numPr>
          <w:ilvl w:val="0"/>
          <w:numId w:val="53"/>
        </w:numPr>
        <w:spacing w:line="240" w:lineRule="auto"/>
        <w:rPr>
          <w:rFonts w:eastAsia="Times New Roman" w:cs="Times New Roman"/>
          <w:lang w:eastAsia="hr-HR"/>
        </w:rPr>
      </w:pPr>
      <w:r w:rsidRPr="00654E3B">
        <w:rPr>
          <w:rFonts w:eastAsia="Times New Roman" w:cs="Times New Roman"/>
          <w:lang w:eastAsia="hr-HR"/>
        </w:rPr>
        <w:t>Smanjena potražnja za tekućim fosilnim gorivom u rafinerijama</w:t>
      </w:r>
      <w:r w:rsidR="00714741" w:rsidRPr="00654E3B">
        <w:rPr>
          <w:rFonts w:eastAsia="Times New Roman" w:cs="Times New Roman"/>
          <w:lang w:eastAsia="hr-HR"/>
        </w:rPr>
        <w:t>,</w:t>
      </w:r>
      <w:r w:rsidRPr="00654E3B">
        <w:rPr>
          <w:rFonts w:eastAsia="Times New Roman" w:cs="Times New Roman"/>
          <w:lang w:eastAsia="hr-HR"/>
        </w:rPr>
        <w:t xml:space="preserve"> mogla bi dovesti do viška rafinerijskih kapaciteta i pojačane međunarodne konkurencije - važna je učinkovitost i optimizacija rada rafinerija; u cilju očuvanja konkurentnosti.</w:t>
      </w:r>
    </w:p>
    <w:p w:rsidR="007D4A93" w:rsidRPr="00654E3B" w:rsidRDefault="00EF0BEB" w:rsidP="000C6795">
      <w:pPr>
        <w:pStyle w:val="ListParagraph"/>
        <w:numPr>
          <w:ilvl w:val="0"/>
          <w:numId w:val="53"/>
        </w:numPr>
        <w:spacing w:line="240" w:lineRule="auto"/>
        <w:rPr>
          <w:rFonts w:eastAsia="Times New Roman" w:cs="Times New Roman"/>
          <w:lang w:eastAsia="hr-HR"/>
        </w:rPr>
      </w:pPr>
      <w:r w:rsidRPr="00654E3B">
        <w:rPr>
          <w:rFonts w:eastAsia="Times New Roman" w:cs="Times New Roman"/>
          <w:lang w:eastAsia="hr-HR"/>
        </w:rPr>
        <w:t>Porast potrošnje tekućih biogoriva potencijalno otvara priliku postojećim rafinerijama za proširenje djelatnosti na napredna biogoriva - potrebno je provesti dodatne analize mogućnosti i isplativosti ovakvih projekata. Također, potrebno je razmotriti proširenje skladišnih kapaciteta koji moraju pratiti porast potrošnje biogoriva.</w:t>
      </w:r>
    </w:p>
    <w:p w:rsidR="007D4A93" w:rsidRPr="00654E3B" w:rsidRDefault="00EF0BEB" w:rsidP="000C6795">
      <w:pPr>
        <w:pStyle w:val="ListParagraph"/>
        <w:numPr>
          <w:ilvl w:val="0"/>
          <w:numId w:val="53"/>
        </w:numPr>
        <w:spacing w:line="240" w:lineRule="auto"/>
        <w:rPr>
          <w:rFonts w:eastAsia="Times New Roman" w:cs="Times New Roman"/>
          <w:lang w:eastAsia="hr-HR"/>
        </w:rPr>
      </w:pPr>
      <w:r w:rsidRPr="00654E3B">
        <w:rPr>
          <w:rFonts w:eastAsia="Times New Roman" w:cs="Times New Roman"/>
          <w:lang w:eastAsia="hr-HR"/>
        </w:rPr>
        <w:lastRenderedPageBreak/>
        <w:t>Analizirati mogućnost proizvodnje vodika i sintetskih goriva u kontekstu regulacije elektroenergetskog sustava i korištenja u plinskom sustavu i prometu.</w:t>
      </w:r>
    </w:p>
    <w:p w:rsidR="007D4A93" w:rsidRPr="00654E3B" w:rsidRDefault="00EF0BEB" w:rsidP="000C6795">
      <w:pPr>
        <w:pStyle w:val="ListParagraph"/>
        <w:numPr>
          <w:ilvl w:val="0"/>
          <w:numId w:val="53"/>
        </w:numPr>
        <w:spacing w:line="240" w:lineRule="auto"/>
        <w:rPr>
          <w:rFonts w:eastAsia="Times New Roman" w:cs="Times New Roman"/>
          <w:lang w:eastAsia="hr-HR"/>
        </w:rPr>
      </w:pPr>
      <w:r w:rsidRPr="00654E3B">
        <w:rPr>
          <w:rFonts w:eastAsia="Times New Roman" w:cs="Times New Roman"/>
          <w:lang w:eastAsia="hr-HR"/>
        </w:rPr>
        <w:t>S obzirom na visoki potencijal globalnog zagrijavanja i relativno kratak životni vijek metana u atmosferi</w:t>
      </w:r>
      <w:r w:rsidR="00714741" w:rsidRPr="00654E3B">
        <w:rPr>
          <w:rFonts w:eastAsia="Times New Roman" w:cs="Times New Roman"/>
          <w:lang w:eastAsia="hr-HR"/>
        </w:rPr>
        <w:t>,</w:t>
      </w:r>
      <w:r w:rsidRPr="00654E3B">
        <w:rPr>
          <w:rFonts w:eastAsia="Times New Roman" w:cs="Times New Roman"/>
          <w:lang w:eastAsia="hr-HR"/>
        </w:rPr>
        <w:t xml:space="preserve"> potrebno će biti ovom pitanju posvetiti posebnu pažnju, nakon što </w:t>
      </w:r>
      <w:r w:rsidR="00A21DCF" w:rsidRPr="00654E3B">
        <w:rPr>
          <w:rFonts w:eastAsia="Times New Roman" w:cs="Times New Roman"/>
          <w:lang w:eastAsia="hr-HR"/>
        </w:rPr>
        <w:t>se usvoji</w:t>
      </w:r>
      <w:r w:rsidRPr="00654E3B">
        <w:rPr>
          <w:rFonts w:eastAsia="Times New Roman" w:cs="Times New Roman"/>
          <w:lang w:eastAsia="hr-HR"/>
        </w:rPr>
        <w:t xml:space="preserve"> zajedničku strategiju za metan</w:t>
      </w:r>
      <w:r w:rsidR="008A15FF" w:rsidRPr="00654E3B">
        <w:rPr>
          <w:rFonts w:eastAsia="Times New Roman" w:cs="Times New Roman"/>
          <w:lang w:eastAsia="hr-HR"/>
        </w:rPr>
        <w:t xml:space="preserve"> na razini EU</w:t>
      </w:r>
      <w:r w:rsidRPr="00654E3B">
        <w:rPr>
          <w:rFonts w:eastAsia="Times New Roman" w:cs="Times New Roman"/>
          <w:lang w:eastAsia="hr-HR"/>
        </w:rPr>
        <w:t>.</w:t>
      </w:r>
    </w:p>
    <w:p w:rsidR="007D4A93" w:rsidRPr="00654E3B" w:rsidRDefault="00EF0BEB">
      <w:pPr>
        <w:rPr>
          <w:rFonts w:eastAsia="Times New Roman" w:cs="Times New Roman"/>
          <w:u w:val="single"/>
          <w:lang w:eastAsia="hr-HR"/>
        </w:rPr>
      </w:pPr>
      <w:r w:rsidRPr="00654E3B">
        <w:rPr>
          <w:rFonts w:eastAsia="Times New Roman" w:cs="Times New Roman"/>
          <w:u w:val="single"/>
          <w:lang w:eastAsia="hr-HR"/>
        </w:rPr>
        <w:t>Do 2050. godine</w:t>
      </w:r>
    </w:p>
    <w:p w:rsidR="007D4A93" w:rsidRPr="00654E3B" w:rsidRDefault="00EF0BEB" w:rsidP="000C6795">
      <w:pPr>
        <w:pStyle w:val="ListParagraph"/>
        <w:numPr>
          <w:ilvl w:val="0"/>
          <w:numId w:val="54"/>
        </w:numPr>
        <w:spacing w:line="240" w:lineRule="auto"/>
        <w:rPr>
          <w:rFonts w:eastAsia="MS Mincho" w:cs="Times New Roman"/>
          <w:lang w:eastAsia="hr-HR"/>
        </w:rPr>
      </w:pPr>
      <w:r w:rsidRPr="00654E3B">
        <w:rPr>
          <w:rFonts w:eastAsia="Times New Roman" w:cs="Times New Roman"/>
          <w:bCs/>
          <w:lang w:eastAsia="hr-HR"/>
        </w:rPr>
        <w:t xml:space="preserve">Potrebno je poticati ugradnju mjera za smanjenje emisija iz baklji (regeneracija metana, ugradnja baklji sa velikom </w:t>
      </w:r>
      <w:r w:rsidRPr="00654E3B">
        <w:rPr>
          <w:rFonts w:cs="Times New Roman"/>
          <w:lang w:eastAsia="hr-HR"/>
        </w:rPr>
        <w:t>efikasnošću te izdvajanje proizvedenog CO</w:t>
      </w:r>
      <w:r w:rsidRPr="00654E3B">
        <w:rPr>
          <w:rFonts w:cs="Times New Roman"/>
          <w:vertAlign w:val="subscript"/>
          <w:lang w:eastAsia="hr-HR"/>
        </w:rPr>
        <w:t>2</w:t>
      </w:r>
      <w:r w:rsidRPr="00654E3B">
        <w:rPr>
          <w:rFonts w:cs="Times New Roman"/>
          <w:lang w:eastAsia="hr-HR"/>
        </w:rPr>
        <w:t xml:space="preserve">). </w:t>
      </w:r>
    </w:p>
    <w:p w:rsidR="007D4A93" w:rsidRPr="00654E3B" w:rsidRDefault="00EF0BEB" w:rsidP="000C6795">
      <w:pPr>
        <w:pStyle w:val="ListParagraph"/>
        <w:numPr>
          <w:ilvl w:val="0"/>
          <w:numId w:val="54"/>
        </w:numPr>
        <w:spacing w:line="240" w:lineRule="auto"/>
        <w:rPr>
          <w:rFonts w:eastAsia="Times New Roman" w:cs="Times New Roman"/>
          <w:bCs/>
          <w:lang w:eastAsia="hr-HR"/>
        </w:rPr>
      </w:pPr>
      <w:r w:rsidRPr="00654E3B">
        <w:rPr>
          <w:rFonts w:cs="Times New Roman"/>
          <w:lang w:eastAsia="hr-HR"/>
        </w:rPr>
        <w:t>Potrebno je p</w:t>
      </w:r>
      <w:r w:rsidRPr="00654E3B">
        <w:rPr>
          <w:rFonts w:eastAsia="Times New Roman" w:cs="Times New Roman"/>
          <w:bCs/>
          <w:lang w:eastAsia="hr-HR"/>
        </w:rPr>
        <w:t>oticati mjere kojima bi se u potpunosti spriječilo odzračivanje.</w:t>
      </w:r>
    </w:p>
    <w:p w:rsidR="007D4A93" w:rsidRPr="00654E3B" w:rsidRDefault="00EF0BEB" w:rsidP="000C6795">
      <w:pPr>
        <w:pStyle w:val="ListParagraph"/>
        <w:numPr>
          <w:ilvl w:val="0"/>
          <w:numId w:val="54"/>
        </w:numPr>
        <w:spacing w:line="240" w:lineRule="auto"/>
        <w:rPr>
          <w:rFonts w:eastAsia="Times New Roman" w:cs="Times New Roman"/>
          <w:bCs/>
          <w:lang w:eastAsia="hr-HR"/>
        </w:rPr>
      </w:pPr>
      <w:r w:rsidRPr="00654E3B">
        <w:rPr>
          <w:rFonts w:eastAsia="Times New Roman" w:cs="Times New Roman"/>
          <w:bCs/>
          <w:lang w:eastAsia="hr-HR"/>
        </w:rPr>
        <w:t>Potrebno je poticati mjere kojima bi se curenje plina prilikom distribucije svelo na minimum.</w:t>
      </w:r>
    </w:p>
    <w:p w:rsidR="007D4A93" w:rsidRPr="00654E3B" w:rsidRDefault="00EF0BEB" w:rsidP="000C6795">
      <w:pPr>
        <w:pStyle w:val="ListParagraph"/>
        <w:numPr>
          <w:ilvl w:val="0"/>
          <w:numId w:val="54"/>
        </w:numPr>
        <w:spacing w:line="240" w:lineRule="auto"/>
        <w:rPr>
          <w:rFonts w:eastAsia="MS Mincho" w:cs="Times New Roman"/>
          <w:lang w:eastAsia="ja-JP"/>
        </w:rPr>
      </w:pPr>
      <w:r w:rsidRPr="00654E3B">
        <w:rPr>
          <w:rFonts w:cs="Times New Roman"/>
        </w:rPr>
        <w:t>U scenariju provedbe mjera za smanjenje emisija u prometu može se očekivati nastavak trenda smanjenja potražnje za tekućim fosilnim gorivima - opstanak rafinerija ovisiti će o međunarodnoj konkurentnosti te o sposobnosti za razvoj novih djelatnosti kao što su proizvodnja biogoriva, vodika ili sintetskih goriva.</w:t>
      </w:r>
    </w:p>
    <w:p w:rsidR="007D4A93" w:rsidRPr="00D27803" w:rsidRDefault="00EF0BEB" w:rsidP="00AB40C9">
      <w:pPr>
        <w:pStyle w:val="Heading2"/>
        <w:rPr>
          <w:rFonts w:ascii="Times New Roman" w:hAnsi="Times New Roman" w:cs="Times New Roman"/>
        </w:rPr>
      </w:pPr>
      <w:bookmarkStart w:id="234" w:name="_Toc69810172"/>
      <w:r w:rsidRPr="00654E3B">
        <w:rPr>
          <w:rFonts w:ascii="Times New Roman" w:hAnsi="Times New Roman" w:cs="Times New Roman"/>
        </w:rPr>
        <w:t>6.3.</w:t>
      </w:r>
      <w:r w:rsidRPr="00654E3B">
        <w:rPr>
          <w:rFonts w:ascii="Times New Roman" w:hAnsi="Times New Roman" w:cs="Times New Roman"/>
        </w:rPr>
        <w:tab/>
        <w:t>PROMET</w:t>
      </w:r>
      <w:bookmarkEnd w:id="234"/>
    </w:p>
    <w:p w:rsidR="007D4A93" w:rsidRPr="00F01191" w:rsidRDefault="00EF0BEB" w:rsidP="009F6651">
      <w:pPr>
        <w:pStyle w:val="Heading3"/>
      </w:pPr>
      <w:bookmarkStart w:id="235" w:name="_Toc69810173"/>
      <w:r w:rsidRPr="00F01191">
        <w:t>6.3.1.</w:t>
      </w:r>
      <w:r w:rsidRPr="00F01191">
        <w:tab/>
        <w:t>Emisije stakleničkih plinova</w:t>
      </w:r>
      <w:bookmarkEnd w:id="235"/>
    </w:p>
    <w:p w:rsidR="007D4A93" w:rsidRPr="00654E3B" w:rsidRDefault="007D4A93">
      <w:pPr>
        <w:keepNext/>
        <w:rPr>
          <w:rFonts w:cs="Times New Roman"/>
        </w:rPr>
      </w:pPr>
    </w:p>
    <w:p w:rsidR="007D4A93" w:rsidRPr="00654E3B" w:rsidRDefault="00EF0BEB">
      <w:pPr>
        <w:keepNext/>
        <w:rPr>
          <w:rFonts w:cs="Times New Roman"/>
        </w:rPr>
      </w:pPr>
      <w:bookmarkStart w:id="236" w:name="_Hlk38268959"/>
      <w:bookmarkStart w:id="237" w:name="_Hlk36802270"/>
      <w:r w:rsidRPr="00654E3B">
        <w:rPr>
          <w:rFonts w:cs="Times New Roman"/>
        </w:rPr>
        <w:t>U 2018. godini, promet je činio 27</w:t>
      </w:r>
      <w:r w:rsidR="00060992" w:rsidRPr="00654E3B">
        <w:rPr>
          <w:rFonts w:cs="Times New Roman"/>
        </w:rPr>
        <w:t xml:space="preserve"> %</w:t>
      </w:r>
      <w:r w:rsidRPr="00654E3B">
        <w:rPr>
          <w:rFonts w:cs="Times New Roman"/>
        </w:rPr>
        <w:t xml:space="preserve"> ukupnih emisije stakleničkih plinova, a od toga cestovni putnički promet 71,6</w:t>
      </w:r>
      <w:r w:rsidR="00060992" w:rsidRPr="00654E3B">
        <w:rPr>
          <w:rFonts w:cs="Times New Roman"/>
        </w:rPr>
        <w:t xml:space="preserve"> %</w:t>
      </w:r>
      <w:r w:rsidRPr="00654E3B">
        <w:rPr>
          <w:rFonts w:cs="Times New Roman"/>
        </w:rPr>
        <w:t>, cestovni teretni promet 24,7</w:t>
      </w:r>
      <w:r w:rsidR="00060992" w:rsidRPr="00654E3B">
        <w:rPr>
          <w:rFonts w:cs="Times New Roman"/>
        </w:rPr>
        <w:t xml:space="preserve"> %</w:t>
      </w:r>
      <w:r w:rsidRPr="00654E3B">
        <w:rPr>
          <w:rFonts w:cs="Times New Roman"/>
        </w:rPr>
        <w:t>, željeznički promet 0,8</w:t>
      </w:r>
      <w:r w:rsidR="00060992" w:rsidRPr="00654E3B">
        <w:rPr>
          <w:rFonts w:cs="Times New Roman"/>
        </w:rPr>
        <w:t xml:space="preserve"> %</w:t>
      </w:r>
      <w:r w:rsidRPr="00654E3B">
        <w:rPr>
          <w:rFonts w:cs="Times New Roman"/>
        </w:rPr>
        <w:t>, pomorski i riječni promet 2,4</w:t>
      </w:r>
      <w:r w:rsidR="00060992" w:rsidRPr="00654E3B">
        <w:rPr>
          <w:rFonts w:cs="Times New Roman"/>
        </w:rPr>
        <w:t xml:space="preserve"> %</w:t>
      </w:r>
      <w:r w:rsidRPr="00654E3B">
        <w:rPr>
          <w:rFonts w:cs="Times New Roman"/>
        </w:rPr>
        <w:t xml:space="preserve"> te domaći zračni promet 0,5</w:t>
      </w:r>
      <w:r w:rsidR="00060992" w:rsidRPr="00654E3B">
        <w:rPr>
          <w:rFonts w:cs="Times New Roman"/>
        </w:rPr>
        <w:t xml:space="preserve"> %</w:t>
      </w:r>
      <w:r w:rsidRPr="00654E3B">
        <w:rPr>
          <w:rFonts w:cs="Times New Roman"/>
        </w:rPr>
        <w:t>. Sektor prometa je imao u 2018. godini emisiju veću od emisije u 1990. godini za 60,4</w:t>
      </w:r>
      <w:r w:rsidR="00060992" w:rsidRPr="00654E3B">
        <w:rPr>
          <w:rFonts w:cs="Times New Roman"/>
        </w:rPr>
        <w:t xml:space="preserve"> %</w:t>
      </w:r>
      <w:r w:rsidRPr="00654E3B">
        <w:rPr>
          <w:rFonts w:cs="Times New Roman"/>
        </w:rPr>
        <w:t>. Oko 90</w:t>
      </w:r>
      <w:r w:rsidR="00060992" w:rsidRPr="00654E3B">
        <w:rPr>
          <w:rFonts w:cs="Times New Roman"/>
        </w:rPr>
        <w:t xml:space="preserve"> %</w:t>
      </w:r>
      <w:r w:rsidRPr="00654E3B">
        <w:rPr>
          <w:rFonts w:cs="Times New Roman"/>
        </w:rPr>
        <w:t xml:space="preserve"> emisija domaćeg zračnog prometa je </w:t>
      </w:r>
      <w:bookmarkStart w:id="238" w:name="_Hlk38268973"/>
      <w:bookmarkEnd w:id="236"/>
      <w:r w:rsidRPr="00654E3B">
        <w:rPr>
          <w:rFonts w:cs="Times New Roman"/>
        </w:rPr>
        <w:t>obuhvaćeno ETS-om, odnosno manje od 0,4</w:t>
      </w:r>
      <w:r w:rsidR="00060992" w:rsidRPr="00654E3B">
        <w:rPr>
          <w:rFonts w:cs="Times New Roman"/>
        </w:rPr>
        <w:t xml:space="preserve"> %</w:t>
      </w:r>
      <w:r w:rsidRPr="00654E3B">
        <w:rPr>
          <w:rFonts w:cs="Times New Roman"/>
        </w:rPr>
        <w:t xml:space="preserve"> emisija iz sektora prometa. </w:t>
      </w:r>
      <w:bookmarkEnd w:id="237"/>
      <w:bookmarkEnd w:id="238"/>
    </w:p>
    <w:p w:rsidR="007D4A93" w:rsidRPr="00654E3B" w:rsidRDefault="00EF0BEB">
      <w:pPr>
        <w:rPr>
          <w:rFonts w:cs="Times New Roman"/>
        </w:rPr>
      </w:pPr>
      <w:r w:rsidRPr="00654E3B">
        <w:rPr>
          <w:rFonts w:cs="Times New Roman"/>
        </w:rPr>
        <w:t xml:space="preserve">U niskougljičnim scenarijima NU1 i NU2, u odnosu na 1990. godinu, usprkos mjerama </w:t>
      </w:r>
      <w:r w:rsidR="001D0377" w:rsidRPr="00654E3B">
        <w:rPr>
          <w:rFonts w:cs="Times New Roman"/>
        </w:rPr>
        <w:t>u 2030. godini</w:t>
      </w:r>
      <w:r w:rsidR="001D4792" w:rsidRPr="00654E3B">
        <w:rPr>
          <w:rFonts w:cs="Times New Roman"/>
        </w:rPr>
        <w:t>,</w:t>
      </w:r>
      <w:r w:rsidR="001D0377" w:rsidRPr="00654E3B">
        <w:rPr>
          <w:rFonts w:cs="Times New Roman"/>
        </w:rPr>
        <w:t xml:space="preserve"> </w:t>
      </w:r>
      <w:r w:rsidR="001D4792" w:rsidRPr="00654E3B">
        <w:rPr>
          <w:rFonts w:cs="Times New Roman"/>
        </w:rPr>
        <w:t xml:space="preserve">emisija </w:t>
      </w:r>
      <w:r w:rsidR="001D0377" w:rsidRPr="00654E3B">
        <w:rPr>
          <w:rFonts w:cs="Times New Roman"/>
        </w:rPr>
        <w:t xml:space="preserve">je još uvijek viša u odnosu na 1990. godinu </w:t>
      </w:r>
      <w:r w:rsidRPr="00654E3B">
        <w:rPr>
          <w:rFonts w:cs="Times New Roman"/>
        </w:rPr>
        <w:t>za 51,4</w:t>
      </w:r>
      <w:r w:rsidR="00060992" w:rsidRPr="00654E3B">
        <w:rPr>
          <w:rFonts w:cs="Times New Roman"/>
        </w:rPr>
        <w:t xml:space="preserve"> %</w:t>
      </w:r>
      <w:r w:rsidRPr="00654E3B">
        <w:rPr>
          <w:rFonts w:cs="Times New Roman"/>
        </w:rPr>
        <w:t>, odnosno 44</w:t>
      </w:r>
      <w:r w:rsidR="00060992" w:rsidRPr="00654E3B">
        <w:rPr>
          <w:rFonts w:cs="Times New Roman"/>
        </w:rPr>
        <w:t xml:space="preserve"> %</w:t>
      </w:r>
      <w:r w:rsidRPr="00654E3B">
        <w:rPr>
          <w:rFonts w:cs="Times New Roman"/>
        </w:rPr>
        <w:t xml:space="preserve"> u 2030. godini</w:t>
      </w:r>
      <w:r w:rsidR="001D0377" w:rsidRPr="00654E3B">
        <w:rPr>
          <w:rFonts w:cs="Times New Roman"/>
        </w:rPr>
        <w:t xml:space="preserve">, jer </w:t>
      </w:r>
      <w:r w:rsidR="001D4792" w:rsidRPr="00654E3B">
        <w:rPr>
          <w:rFonts w:cs="Times New Roman"/>
        </w:rPr>
        <w:t>promet bilježi</w:t>
      </w:r>
      <w:r w:rsidR="001D0377" w:rsidRPr="00654E3B">
        <w:rPr>
          <w:rFonts w:cs="Times New Roman"/>
        </w:rPr>
        <w:t xml:space="preserve"> porast </w:t>
      </w:r>
      <w:r w:rsidR="001D4792" w:rsidRPr="00654E3B">
        <w:rPr>
          <w:rFonts w:cs="Times New Roman"/>
        </w:rPr>
        <w:t xml:space="preserve">emisija </w:t>
      </w:r>
      <w:r w:rsidR="001D0377" w:rsidRPr="00654E3B">
        <w:rPr>
          <w:rFonts w:cs="Times New Roman"/>
        </w:rPr>
        <w:t>do 2018.</w:t>
      </w:r>
      <w:r w:rsidR="001D4792" w:rsidRPr="00654E3B">
        <w:rPr>
          <w:rFonts w:cs="Times New Roman"/>
        </w:rPr>
        <w:t xml:space="preserve"> godine. </w:t>
      </w:r>
      <w:r w:rsidRPr="00654E3B">
        <w:rPr>
          <w:rFonts w:cs="Times New Roman"/>
        </w:rPr>
        <w:t>Smanjenje emisije</w:t>
      </w:r>
      <w:r w:rsidR="001D4792" w:rsidRPr="00654E3B">
        <w:rPr>
          <w:rFonts w:cs="Times New Roman"/>
        </w:rPr>
        <w:t xml:space="preserve"> u odnosu na razinu iz 1990. godine</w:t>
      </w:r>
      <w:r w:rsidRPr="00654E3B">
        <w:rPr>
          <w:rFonts w:cs="Times New Roman"/>
        </w:rPr>
        <w:t xml:space="preserve"> očekuje se tek iza 2040. godine. U 2050. godini smanjenje u NU1 scenariju iznositi će 28,3</w:t>
      </w:r>
      <w:r w:rsidR="00060992" w:rsidRPr="00654E3B">
        <w:rPr>
          <w:rFonts w:cs="Times New Roman"/>
        </w:rPr>
        <w:t xml:space="preserve"> %</w:t>
      </w:r>
      <w:r w:rsidRPr="00654E3B">
        <w:rPr>
          <w:rFonts w:cs="Times New Roman"/>
        </w:rPr>
        <w:t>, a u NU2 scenariju 55,4</w:t>
      </w:r>
      <w:r w:rsidR="00060992" w:rsidRPr="00654E3B">
        <w:rPr>
          <w:rFonts w:cs="Times New Roman"/>
        </w:rPr>
        <w:t xml:space="preserve"> %</w:t>
      </w:r>
      <w:r w:rsidRPr="00654E3B">
        <w:rPr>
          <w:rFonts w:cs="Times New Roman"/>
        </w:rPr>
        <w:t>.</w:t>
      </w:r>
    </w:p>
    <w:p w:rsidR="007D4A93" w:rsidRPr="00654E3B" w:rsidRDefault="00EF0BEB" w:rsidP="009F6651">
      <w:pPr>
        <w:pStyle w:val="Heading3"/>
      </w:pPr>
      <w:bookmarkStart w:id="239" w:name="_Toc69810174"/>
      <w:r w:rsidRPr="00654E3B">
        <w:t>6.3.2.</w:t>
      </w:r>
      <w:r w:rsidRPr="00654E3B">
        <w:tab/>
        <w:t>Politike i mjere za niskougljični razvoj</w:t>
      </w:r>
      <w:bookmarkEnd w:id="239"/>
    </w:p>
    <w:p w:rsidR="007D4A93" w:rsidRPr="00654E3B" w:rsidRDefault="007D4A93">
      <w:pPr>
        <w:rPr>
          <w:rFonts w:cs="Times New Roman"/>
        </w:rPr>
      </w:pPr>
    </w:p>
    <w:p w:rsidR="007D4A93" w:rsidRPr="00654E3B" w:rsidRDefault="00EF0BEB">
      <w:pPr>
        <w:rPr>
          <w:rFonts w:cs="Times New Roman"/>
        </w:rPr>
      </w:pPr>
      <w:r w:rsidRPr="00654E3B">
        <w:rPr>
          <w:rFonts w:cs="Times New Roman"/>
        </w:rPr>
        <w:t>Temeljne mjere u prometu uključuju:</w:t>
      </w:r>
    </w:p>
    <w:p w:rsidR="007D4A93" w:rsidRPr="00654E3B" w:rsidRDefault="00EF0BEB" w:rsidP="000C6795">
      <w:pPr>
        <w:pStyle w:val="ListParagraph"/>
        <w:numPr>
          <w:ilvl w:val="0"/>
          <w:numId w:val="34"/>
        </w:numPr>
        <w:rPr>
          <w:rFonts w:cs="Times New Roman"/>
          <w:szCs w:val="24"/>
        </w:rPr>
      </w:pPr>
      <w:r w:rsidRPr="00654E3B">
        <w:rPr>
          <w:rFonts w:cs="Times New Roman"/>
          <w:szCs w:val="24"/>
        </w:rPr>
        <w:t>primjenu goriva niske emisije CO</w:t>
      </w:r>
      <w:r w:rsidRPr="00654E3B">
        <w:rPr>
          <w:rFonts w:cs="Times New Roman"/>
          <w:szCs w:val="24"/>
          <w:vertAlign w:val="subscript"/>
        </w:rPr>
        <w:t>2</w:t>
      </w:r>
      <w:r w:rsidRPr="00654E3B">
        <w:rPr>
          <w:rFonts w:cs="Times New Roman"/>
          <w:szCs w:val="24"/>
        </w:rPr>
        <w:t xml:space="preserve"> što uključuje korištenje električnih i hibridnih vozila, vozila koja koriste prirodni plin i bioplin, ukapljeni naftni plin, vozila koja koriste vodik te korištenje biogoriva</w:t>
      </w:r>
      <w:r w:rsidR="002D69C4" w:rsidRPr="00654E3B">
        <w:rPr>
          <w:rFonts w:cs="Times New Roman"/>
          <w:szCs w:val="24"/>
        </w:rPr>
        <w:t>,</w:t>
      </w:r>
    </w:p>
    <w:p w:rsidR="007D4A93" w:rsidRPr="00654E3B" w:rsidRDefault="00EF0BEB" w:rsidP="000C6795">
      <w:pPr>
        <w:pStyle w:val="ListParagraph"/>
        <w:numPr>
          <w:ilvl w:val="0"/>
          <w:numId w:val="34"/>
        </w:numPr>
        <w:rPr>
          <w:rFonts w:cs="Times New Roman"/>
          <w:szCs w:val="24"/>
        </w:rPr>
      </w:pPr>
      <w:r w:rsidRPr="00654E3B">
        <w:rPr>
          <w:rFonts w:cs="Times New Roman"/>
          <w:szCs w:val="24"/>
        </w:rPr>
        <w:t>optimizaciju i povećanje učinkovitosti prijevoznih sredstava</w:t>
      </w:r>
      <w:r w:rsidR="002D69C4" w:rsidRPr="00654E3B">
        <w:rPr>
          <w:rFonts w:cs="Times New Roman"/>
          <w:szCs w:val="24"/>
        </w:rPr>
        <w:t>,</w:t>
      </w:r>
    </w:p>
    <w:p w:rsidR="007D4A93" w:rsidRPr="00654E3B" w:rsidRDefault="00EF0BEB" w:rsidP="000C6795">
      <w:pPr>
        <w:pStyle w:val="ListParagraph"/>
        <w:numPr>
          <w:ilvl w:val="0"/>
          <w:numId w:val="34"/>
        </w:numPr>
        <w:rPr>
          <w:rFonts w:cs="Times New Roman"/>
          <w:szCs w:val="24"/>
        </w:rPr>
      </w:pPr>
      <w:r w:rsidRPr="00654E3B">
        <w:rPr>
          <w:rFonts w:cs="Times New Roman"/>
          <w:szCs w:val="24"/>
        </w:rPr>
        <w:t>destimulaciju potrošnje dizel goriva i uvoza starih dizel vozila</w:t>
      </w:r>
      <w:r w:rsidR="002D69C4" w:rsidRPr="00654E3B">
        <w:rPr>
          <w:rFonts w:cs="Times New Roman"/>
          <w:szCs w:val="24"/>
        </w:rPr>
        <w:t>,</w:t>
      </w:r>
    </w:p>
    <w:p w:rsidR="007D4A93" w:rsidRPr="00654E3B" w:rsidRDefault="00EF0BEB" w:rsidP="000C6795">
      <w:pPr>
        <w:pStyle w:val="ListParagraph"/>
        <w:numPr>
          <w:ilvl w:val="0"/>
          <w:numId w:val="34"/>
        </w:numPr>
        <w:rPr>
          <w:rFonts w:cs="Times New Roman"/>
          <w:b/>
          <w:szCs w:val="24"/>
        </w:rPr>
      </w:pPr>
      <w:r w:rsidRPr="00654E3B">
        <w:rPr>
          <w:rFonts w:cs="Times New Roman"/>
          <w:color w:val="000000"/>
          <w:szCs w:val="24"/>
        </w:rPr>
        <w:t>promicanje</w:t>
      </w:r>
      <w:r w:rsidRPr="00654E3B">
        <w:rPr>
          <w:rFonts w:cs="Times New Roman"/>
        </w:rPr>
        <w:t xml:space="preserve"> održivog </w:t>
      </w:r>
      <w:r w:rsidRPr="00654E3B">
        <w:rPr>
          <w:rFonts w:cs="Times New Roman"/>
          <w:color w:val="000000"/>
          <w:szCs w:val="24"/>
        </w:rPr>
        <w:t>integriranog putničkog i teretnog prometa</w:t>
      </w:r>
      <w:r w:rsidR="002D69C4" w:rsidRPr="00654E3B">
        <w:rPr>
          <w:rFonts w:cs="Times New Roman"/>
          <w:color w:val="000000"/>
          <w:szCs w:val="24"/>
        </w:rPr>
        <w:t>,</w:t>
      </w:r>
    </w:p>
    <w:p w:rsidR="007D4A93" w:rsidRPr="00654E3B" w:rsidRDefault="00EF0BEB" w:rsidP="000C6795">
      <w:pPr>
        <w:pStyle w:val="ListParagraph"/>
        <w:numPr>
          <w:ilvl w:val="0"/>
          <w:numId w:val="34"/>
        </w:numPr>
        <w:rPr>
          <w:rFonts w:cs="Times New Roman"/>
          <w:b/>
          <w:szCs w:val="24"/>
        </w:rPr>
      </w:pPr>
      <w:r w:rsidRPr="00654E3B">
        <w:rPr>
          <w:rFonts w:cs="Times New Roman"/>
          <w:color w:val="000000"/>
          <w:szCs w:val="24"/>
        </w:rPr>
        <w:t>lokalizaciju proizvodnje i potrošnje s ciljem smanjenja teretnog prometa.</w:t>
      </w:r>
    </w:p>
    <w:p w:rsidR="007D4A93" w:rsidRPr="00654E3B" w:rsidRDefault="00EF0BEB">
      <w:pPr>
        <w:rPr>
          <w:rFonts w:cs="Times New Roman"/>
          <w:b/>
        </w:rPr>
      </w:pPr>
      <w:r w:rsidRPr="00654E3B">
        <w:rPr>
          <w:rFonts w:cs="Times New Roman"/>
          <w:b/>
        </w:rPr>
        <w:t xml:space="preserve">Alternativna goriva. </w:t>
      </w:r>
      <w:r w:rsidRPr="00654E3B">
        <w:rPr>
          <w:rFonts w:cs="Times New Roman"/>
        </w:rPr>
        <w:t>Korištenje alternativnih goriva</w:t>
      </w:r>
      <w:r w:rsidR="00612665" w:rsidRPr="00654E3B">
        <w:rPr>
          <w:rFonts w:cs="Times New Roman"/>
        </w:rPr>
        <w:t xml:space="preserve"> u prometu</w:t>
      </w:r>
      <w:r w:rsidRPr="00654E3B">
        <w:rPr>
          <w:rFonts w:cs="Times New Roman"/>
        </w:rPr>
        <w:t>, kao što su električna energija, ukapljeni prirodni plin (UPP), stlačeni prirodni plin (SPP), ukapljeni naftni plin (UNP), biogoriva, vodik, sintetski plin dobiven kemijskim recikliranjem otpada. Preduvjet za primjenu mjere je razvoj infrastrukture za alternativna goriva te poticanje zamjene ili nabave novih vozila.</w:t>
      </w:r>
    </w:p>
    <w:p w:rsidR="007D4A93" w:rsidRPr="00654E3B" w:rsidRDefault="00EF0BEB">
      <w:pPr>
        <w:rPr>
          <w:rFonts w:cs="Times New Roman"/>
        </w:rPr>
      </w:pPr>
      <w:r w:rsidRPr="00654E3B">
        <w:rPr>
          <w:rFonts w:cs="Times New Roman"/>
          <w:b/>
        </w:rPr>
        <w:t>Elektrifikacija osobnih vozila.</w:t>
      </w:r>
      <w:r w:rsidRPr="00654E3B">
        <w:rPr>
          <w:rFonts w:cs="Times New Roman"/>
        </w:rPr>
        <w:t xml:space="preserve"> Za snažno smanjenje emisija u sektoru prometa do 2050. godine biti će jako važan razvoj vozila koja koriste električnu energiju (uključujući i hibridna vozila). Za učinkovito ukupno smanjenje emisija</w:t>
      </w:r>
      <w:r w:rsidR="00630D2B" w:rsidRPr="00654E3B">
        <w:rPr>
          <w:rFonts w:cs="Times New Roman"/>
        </w:rPr>
        <w:t>,</w:t>
      </w:r>
      <w:r w:rsidRPr="00654E3B">
        <w:rPr>
          <w:rFonts w:cs="Times New Roman"/>
        </w:rPr>
        <w:t xml:space="preserve"> važno je ovu mjeru poduprijeti s mjerama za smanjenje emisija u proizvodnji električne energije, odnosno primjenom OIE. </w:t>
      </w:r>
    </w:p>
    <w:p w:rsidR="007D4A93" w:rsidRPr="00654E3B" w:rsidRDefault="00EF0BEB">
      <w:pPr>
        <w:rPr>
          <w:rFonts w:cs="Times New Roman"/>
        </w:rPr>
      </w:pPr>
      <w:r w:rsidRPr="00654E3B">
        <w:rPr>
          <w:rFonts w:cs="Times New Roman"/>
        </w:rPr>
        <w:t>U sektoru elektrifikacije prometnih sustava, u razvoju infrastrukture, ali i vozila ili komponenata za vozila, nalazi se prilika za inovacije i domaću industriju.</w:t>
      </w:r>
    </w:p>
    <w:p w:rsidR="007D4A93" w:rsidRPr="00654E3B" w:rsidRDefault="00EF0BEB">
      <w:pPr>
        <w:rPr>
          <w:rFonts w:cs="Times New Roman"/>
        </w:rPr>
      </w:pPr>
      <w:r w:rsidRPr="00654E3B">
        <w:rPr>
          <w:rFonts w:cs="Times New Roman"/>
          <w:b/>
        </w:rPr>
        <w:lastRenderedPageBreak/>
        <w:t>Prirodni plin, sintetski plin i bioplin</w:t>
      </w:r>
      <w:r w:rsidRPr="00654E3B">
        <w:rPr>
          <w:rFonts w:cs="Times New Roman"/>
        </w:rPr>
        <w:t>. Porast korištenja prirodnog plina, sintetskog plina i bioplina u autobusima, lakim i teškim teretnim vozilima, željezničkom te u pomorskom prometu. Usporedno s razvojem eko-brodarstva potrebno je razviti objekte za preuzimanje goriva za brodove na plin i eko-brodove kao što su punionice i postrojenja za ukapljeni prirodni plin, stlačeni prirodni plin, ukapljeni naftni plin, vodik i sintetski plin.</w:t>
      </w:r>
    </w:p>
    <w:p w:rsidR="007D4A93" w:rsidRPr="00654E3B" w:rsidRDefault="00EF0BEB">
      <w:pPr>
        <w:rPr>
          <w:rFonts w:cs="Times New Roman"/>
        </w:rPr>
      </w:pPr>
      <w:r w:rsidRPr="00654E3B">
        <w:rPr>
          <w:rFonts w:cs="Times New Roman"/>
          <w:b/>
        </w:rPr>
        <w:t>Vodik.</w:t>
      </w:r>
      <w:r w:rsidRPr="00654E3B">
        <w:rPr>
          <w:rFonts w:cs="Times New Roman"/>
        </w:rPr>
        <w:t xml:space="preserve"> Potencijal vodika kao goriva je značajan. Potrebna su značajna ulaganja u distribucijsku mrežu za vodik, koja je identificirana kao jedno od ključnih sredstava prema širem usvajanju vodika kao goriva za promet, dok se dostupnost ugljikovodika ne smatra preprekom. Korištenje vodika u vozilima ne zahtjeva posebne prilagodbe u pogledu navika putovanja i punjenja vozila. Iako već danas postoje razvijene tehnologije za proizvodnju vodika, potrebni su znatni napori da bi se uspostavila infrastruktura za punjenje vozila vodikom. Prednost vodika je što je zbog visoke energetske vrijednosti pogodan za korištenje u teretnim vozilima i za pogon brodova. Njegovo široko korištenje potpomaže u integraciji obnovljivih izvora energije jer se viškovi električne energije iz obnovljivih izvora mogu skladištiti tako da se proizvodi vodik.</w:t>
      </w:r>
    </w:p>
    <w:p w:rsidR="007D4A93" w:rsidRPr="00654E3B" w:rsidRDefault="00EF0BEB">
      <w:pPr>
        <w:rPr>
          <w:rFonts w:cs="Times New Roman"/>
        </w:rPr>
      </w:pPr>
      <w:r w:rsidRPr="00654E3B">
        <w:rPr>
          <w:rFonts w:cs="Times New Roman"/>
          <w:b/>
        </w:rPr>
        <w:t>Korištenje biogoriva</w:t>
      </w:r>
      <w:r w:rsidRPr="00654E3B">
        <w:rPr>
          <w:rFonts w:cs="Times New Roman"/>
        </w:rPr>
        <w:t xml:space="preserve"> mora se u budućnosti ograničiti na napredna biogoriva koja su proizvedena na način da se ne ugrožava poljoprivredna proizvodnja u skladu s kriterijima održivosti. Razvoj biogoriva ovisiti će o kriterijima održivosti te inovacijama i rješenjima za napredna biogoriva, kao i o sustavu poticaja.</w:t>
      </w:r>
    </w:p>
    <w:p w:rsidR="007D4A93" w:rsidRPr="00654E3B" w:rsidRDefault="00EF0BEB">
      <w:pPr>
        <w:rPr>
          <w:rFonts w:cs="Times New Roman"/>
        </w:rPr>
      </w:pPr>
      <w:r w:rsidRPr="00654E3B">
        <w:rPr>
          <w:rFonts w:cs="Times New Roman"/>
          <w:b/>
        </w:rPr>
        <w:t xml:space="preserve">Promicanje održivog integriranog prometa. </w:t>
      </w:r>
      <w:r w:rsidRPr="00654E3B">
        <w:rPr>
          <w:rFonts w:cs="Times New Roman"/>
        </w:rPr>
        <w:t>Uspješnim promicanjem održivog integriranog gradskog i međugradskog prometa s naglaskom na razvoj željeznice za prijevoz putnika i tereta uslijedit će prebacivanje prijevoza tereta i putnika s ceste na željeznicu i unutarnje plovne putove.</w:t>
      </w:r>
    </w:p>
    <w:p w:rsidR="007D4A93" w:rsidRPr="00654E3B" w:rsidRDefault="00EF0BEB">
      <w:pPr>
        <w:rPr>
          <w:rFonts w:cs="Times New Roman"/>
        </w:rPr>
      </w:pPr>
      <w:r w:rsidRPr="00654E3B">
        <w:rPr>
          <w:rFonts w:cs="Times New Roman"/>
          <w:b/>
        </w:rPr>
        <w:t xml:space="preserve">Ekonomična potrošnja goriva. </w:t>
      </w:r>
      <w:r w:rsidRPr="00654E3B">
        <w:rPr>
          <w:rFonts w:cs="Times New Roman"/>
        </w:rPr>
        <w:t>Unaprjeđenje učinkovitosti vozila prilikom obnove voznog parka biti će prvi faktor za smanjenje jediničnih emisija stakleničkih plinova na temelju postojeće politike i mjere EU. Najznačajnija mjera je obveza smanjenja prosječnih emisija za sva nova osobna vozila ispod 95 g CO</w:t>
      </w:r>
      <w:r w:rsidRPr="00654E3B">
        <w:rPr>
          <w:rFonts w:cs="Times New Roman"/>
          <w:vertAlign w:val="subscript"/>
        </w:rPr>
        <w:t>2</w:t>
      </w:r>
      <w:r w:rsidRPr="00654E3B">
        <w:rPr>
          <w:rFonts w:cs="Times New Roman"/>
        </w:rPr>
        <w:t>/km od 2021. godine.</w:t>
      </w:r>
    </w:p>
    <w:p w:rsidR="007D4A93" w:rsidRPr="00654E3B" w:rsidRDefault="00EF0BEB">
      <w:pPr>
        <w:rPr>
          <w:rFonts w:eastAsia="Times New Roman" w:cs="Times New Roman"/>
          <w:lang w:eastAsia="hr-HR"/>
        </w:rPr>
      </w:pPr>
      <w:r w:rsidRPr="00654E3B">
        <w:rPr>
          <w:rFonts w:cs="Times New Roman"/>
          <w:b/>
        </w:rPr>
        <w:t xml:space="preserve">Održivi prometni sustavi u gradovima. </w:t>
      </w:r>
      <w:r w:rsidRPr="00654E3B">
        <w:rPr>
          <w:rFonts w:cs="Times New Roman"/>
        </w:rPr>
        <w:t xml:space="preserve">Prioritetno niskougljični javni gradski prijevoz, uže središte gradova bez prometa, razvijen biciklistički promet, energetski učinkovitija goriva i nove tehnologije, znatno će smanjiti utrošak energije i emisije stakleničkih plinova. Sve više vozila u gradskom prijevozu biti će autonomna vozila uz napredno punjenje i korištenje baterija. </w:t>
      </w:r>
      <w:r w:rsidRPr="00654E3B">
        <w:rPr>
          <w:rFonts w:eastAsia="Times New Roman" w:cs="Times New Roman"/>
          <w:lang w:eastAsia="hr-HR"/>
        </w:rPr>
        <w:t>Razvoj inteligentnih i integriranih urbanih prometnih sustava podrazumijeva optimiranje gradske logistike prijevoza tereta, inteligentno upravljanje prometom i javnim parkirnim površinama, uvođenje sustava dijeljenja automobila te promicanje, razvoj i optimiranje javnog gradskog prijevoza putnika.</w:t>
      </w:r>
    </w:p>
    <w:p w:rsidR="007D4A93" w:rsidRPr="00654E3B" w:rsidRDefault="00EF0BEB">
      <w:pPr>
        <w:rPr>
          <w:rFonts w:cs="Times New Roman"/>
        </w:rPr>
      </w:pPr>
      <w:r w:rsidRPr="00654E3B">
        <w:rPr>
          <w:rFonts w:cs="Times New Roman"/>
          <w:b/>
          <w:bCs/>
        </w:rPr>
        <w:t>Smanjenje emisije u teretnom prijevozu.</w:t>
      </w:r>
      <w:r w:rsidRPr="00654E3B">
        <w:rPr>
          <w:rFonts w:cs="Times New Roman"/>
        </w:rPr>
        <w:t xml:space="preserve"> Očekuje se da će se prijevoz tereta povećati, u međugradskom i gradskom prometu. Vrlo važna mjera treba biti povećanje korištenja željezničkog prijevoza, općenito sustav transporta treba biti bolje optimiran, primjenom ICT rješenja i korištenjem autonomnih vozila gdje to moguće. Za teretna cestovna vozila pogodna su goriva proizvedena uz pomoć električne energije iz obnovljivih izvora energije, </w:t>
      </w:r>
      <w:r w:rsidR="00C64641" w:rsidRPr="00654E3B">
        <w:rPr>
          <w:rFonts w:cs="Times New Roman"/>
        </w:rPr>
        <w:t xml:space="preserve">a </w:t>
      </w:r>
      <w:r w:rsidRPr="00654E3B">
        <w:rPr>
          <w:rFonts w:cs="Times New Roman"/>
        </w:rPr>
        <w:t xml:space="preserve">najperspektivnije gorivo je vodik (korištenje u gorivim ćelijama), sintetski metan i sintetsko tekuće </w:t>
      </w:r>
      <w:r w:rsidR="00C64641" w:rsidRPr="00654E3B">
        <w:rPr>
          <w:rFonts w:cs="Times New Roman"/>
        </w:rPr>
        <w:t>gorivo</w:t>
      </w:r>
      <w:r w:rsidRPr="00654E3B">
        <w:rPr>
          <w:rFonts w:cs="Times New Roman"/>
        </w:rPr>
        <w:t xml:space="preserve">. Manja teretna vozila biti će na hibridni i baterijski pogon. Za brodove u prijelaznom razdoblju </w:t>
      </w:r>
      <w:r w:rsidR="00612665" w:rsidRPr="00654E3B">
        <w:rPr>
          <w:rFonts w:cs="Times New Roman"/>
        </w:rPr>
        <w:t xml:space="preserve">alternativno gorivo je </w:t>
      </w:r>
      <w:r w:rsidRPr="00654E3B">
        <w:rPr>
          <w:rFonts w:cs="Times New Roman"/>
        </w:rPr>
        <w:t>tekući prirodni plin, a potom vodik i sintetska goriva.</w:t>
      </w:r>
    </w:p>
    <w:p w:rsidR="007D4A93" w:rsidRPr="00654E3B" w:rsidRDefault="00EF0BEB" w:rsidP="009F6651">
      <w:pPr>
        <w:pStyle w:val="Heading3"/>
      </w:pPr>
      <w:bookmarkStart w:id="240" w:name="_Toc69810175"/>
      <w:r w:rsidRPr="00654E3B">
        <w:t>6.3.3.</w:t>
      </w:r>
      <w:r w:rsidRPr="00654E3B">
        <w:tab/>
        <w:t>Smjernice za niskougljični razvoj</w:t>
      </w:r>
      <w:bookmarkEnd w:id="240"/>
    </w:p>
    <w:p w:rsidR="007D4A93" w:rsidRPr="00654E3B" w:rsidRDefault="007D4A93">
      <w:pPr>
        <w:rPr>
          <w:rFonts w:cs="Times New Roman"/>
        </w:rPr>
      </w:pPr>
    </w:p>
    <w:p w:rsidR="007D4A93" w:rsidRPr="00654E3B" w:rsidRDefault="00EF0BEB">
      <w:pPr>
        <w:rPr>
          <w:rFonts w:eastAsia="Times New Roman" w:cs="Times New Roman"/>
          <w:u w:val="single"/>
          <w:lang w:eastAsia="hr-HR"/>
        </w:rPr>
      </w:pPr>
      <w:r w:rsidRPr="00654E3B">
        <w:rPr>
          <w:rFonts w:eastAsia="Times New Roman" w:cs="Times New Roman"/>
          <w:u w:val="single"/>
          <w:lang w:eastAsia="hr-HR"/>
        </w:rPr>
        <w:t>Do 2030. godine</w:t>
      </w:r>
    </w:p>
    <w:p w:rsidR="007D4A93" w:rsidRPr="00654E3B" w:rsidRDefault="00EF0BEB" w:rsidP="000C6795">
      <w:pPr>
        <w:pStyle w:val="ListParagraph"/>
        <w:numPr>
          <w:ilvl w:val="0"/>
          <w:numId w:val="51"/>
        </w:numPr>
        <w:spacing w:line="240" w:lineRule="auto"/>
        <w:rPr>
          <w:rFonts w:eastAsia="Times New Roman" w:cs="Times New Roman"/>
          <w:lang w:eastAsia="hr-HR"/>
        </w:rPr>
      </w:pPr>
      <w:r w:rsidRPr="00654E3B">
        <w:rPr>
          <w:rFonts w:eastAsia="Times New Roman" w:cs="Times New Roman"/>
          <w:lang w:eastAsia="hr-HR"/>
        </w:rPr>
        <w:t>U sektoru prometa treba ojačati kapacitete za planiranje održive mobilnosti i integralno planiranje mobilnosti u gradovima.</w:t>
      </w:r>
    </w:p>
    <w:p w:rsidR="007D4A93" w:rsidRPr="00654E3B" w:rsidRDefault="00EF0BEB" w:rsidP="000C6795">
      <w:pPr>
        <w:pStyle w:val="ListParagraph"/>
        <w:numPr>
          <w:ilvl w:val="0"/>
          <w:numId w:val="51"/>
        </w:numPr>
        <w:rPr>
          <w:rFonts w:cs="Times New Roman"/>
          <w:lang w:eastAsia="hr-HR"/>
        </w:rPr>
      </w:pPr>
      <w:r w:rsidRPr="00654E3B">
        <w:rPr>
          <w:rFonts w:cs="Times New Roman"/>
          <w:lang w:eastAsia="hr-HR"/>
        </w:rPr>
        <w:t>Potrebno je poticati razvoj integriranog prometa. Potrebno je poticati željeznički promet kako bi postao konkurentan drugim vidovima prometa. Jedan od preduvjeta za ostvarenje je unaprijediti infrastrukturu:</w:t>
      </w:r>
    </w:p>
    <w:p w:rsidR="007D4A93" w:rsidRPr="00654E3B" w:rsidRDefault="00EF0BEB" w:rsidP="000C6795">
      <w:pPr>
        <w:pStyle w:val="ListParagraph"/>
        <w:numPr>
          <w:ilvl w:val="1"/>
          <w:numId w:val="52"/>
        </w:numPr>
        <w:rPr>
          <w:rFonts w:cs="Times New Roman"/>
          <w:lang w:eastAsia="hr-HR"/>
        </w:rPr>
      </w:pPr>
      <w:r w:rsidRPr="00654E3B">
        <w:rPr>
          <w:rFonts w:cs="Times New Roman"/>
          <w:lang w:eastAsia="hr-HR"/>
        </w:rPr>
        <w:t xml:space="preserve">potrebno je unaprijediti i modernizirati pruge (uključujući </w:t>
      </w:r>
      <w:r w:rsidR="00C64641" w:rsidRPr="00654E3B">
        <w:rPr>
          <w:rFonts w:cs="Times New Roman"/>
          <w:lang w:eastAsia="hr-HR"/>
        </w:rPr>
        <w:t>elektrifikaciju</w:t>
      </w:r>
      <w:r w:rsidRPr="00654E3B">
        <w:rPr>
          <w:rFonts w:cs="Times New Roman"/>
          <w:lang w:eastAsia="hr-HR"/>
        </w:rPr>
        <w:t>), sustave signalizacije i kontrole kako bi se omogućile veće brzine prometovanja</w:t>
      </w:r>
      <w:r w:rsidR="00C64641" w:rsidRPr="00654E3B">
        <w:rPr>
          <w:rFonts w:cs="Times New Roman"/>
          <w:lang w:eastAsia="hr-HR"/>
        </w:rPr>
        <w:t>;</w:t>
      </w:r>
    </w:p>
    <w:p w:rsidR="007D4A93" w:rsidRPr="00654E3B" w:rsidRDefault="00EF0BEB" w:rsidP="000C6795">
      <w:pPr>
        <w:pStyle w:val="ListParagraph"/>
        <w:numPr>
          <w:ilvl w:val="1"/>
          <w:numId w:val="52"/>
        </w:numPr>
        <w:rPr>
          <w:rFonts w:cs="Times New Roman"/>
          <w:lang w:eastAsia="hr-HR"/>
        </w:rPr>
      </w:pPr>
      <w:r w:rsidRPr="00654E3B">
        <w:rPr>
          <w:rFonts w:cs="Times New Roman"/>
          <w:lang w:eastAsia="hr-HR"/>
        </w:rPr>
        <w:lastRenderedPageBreak/>
        <w:t>potrebno je ulagati u obnovu fonda lokomotiva i vagona</w:t>
      </w:r>
      <w:r w:rsidR="00C64641" w:rsidRPr="00654E3B">
        <w:rPr>
          <w:rFonts w:cs="Times New Roman"/>
          <w:lang w:eastAsia="hr-HR"/>
        </w:rPr>
        <w:t>;</w:t>
      </w:r>
    </w:p>
    <w:p w:rsidR="007D4A93" w:rsidRPr="00654E3B" w:rsidRDefault="00EF0BEB" w:rsidP="000C6795">
      <w:pPr>
        <w:pStyle w:val="ListParagraph"/>
        <w:numPr>
          <w:ilvl w:val="1"/>
          <w:numId w:val="52"/>
        </w:numPr>
        <w:rPr>
          <w:rFonts w:cs="Times New Roman"/>
          <w:lang w:eastAsia="hr-HR"/>
        </w:rPr>
      </w:pPr>
      <w:r w:rsidRPr="00654E3B">
        <w:rPr>
          <w:rFonts w:cs="Times New Roman"/>
          <w:lang w:eastAsia="hr-HR"/>
        </w:rPr>
        <w:t>potrebno je razviti mrežu logističkih intermodalnih platformi, s time da se te platforme trebaju izgraditi u lukama i u glavnim potrošačkim središtima. Isto je potrebno i zbog uključivanja ishodišta opskrbnih lanaca u hrvatske luke koje konkuriraju drugim lukama na ovom području</w:t>
      </w:r>
      <w:r w:rsidR="00C64641" w:rsidRPr="00654E3B">
        <w:rPr>
          <w:rFonts w:cs="Times New Roman"/>
          <w:lang w:eastAsia="hr-HR"/>
        </w:rPr>
        <w:t>;</w:t>
      </w:r>
    </w:p>
    <w:p w:rsidR="007D4A93" w:rsidRPr="00654E3B" w:rsidRDefault="00EF0BEB" w:rsidP="000C6795">
      <w:pPr>
        <w:pStyle w:val="ListParagraph"/>
        <w:numPr>
          <w:ilvl w:val="1"/>
          <w:numId w:val="52"/>
        </w:numPr>
        <w:rPr>
          <w:rFonts w:cs="Times New Roman"/>
          <w:lang w:eastAsia="hr-HR"/>
        </w:rPr>
      </w:pPr>
      <w:r w:rsidRPr="00654E3B">
        <w:rPr>
          <w:rFonts w:cs="Times New Roman"/>
          <w:lang w:eastAsia="hr-HR"/>
        </w:rPr>
        <w:t>potrebno je povezivati javne gradske i međugradske prometne sustave</w:t>
      </w:r>
      <w:r w:rsidR="00C64641" w:rsidRPr="00654E3B">
        <w:rPr>
          <w:rFonts w:cs="Times New Roman"/>
          <w:lang w:eastAsia="hr-HR"/>
        </w:rPr>
        <w:t>;</w:t>
      </w:r>
    </w:p>
    <w:p w:rsidR="007D4A93" w:rsidRPr="00654E3B" w:rsidRDefault="00EF0BEB" w:rsidP="000C6795">
      <w:pPr>
        <w:pStyle w:val="ListParagraph"/>
        <w:numPr>
          <w:ilvl w:val="0"/>
          <w:numId w:val="50"/>
        </w:numPr>
        <w:rPr>
          <w:rFonts w:eastAsia="MS Mincho" w:cs="Times New Roman"/>
          <w:lang w:eastAsia="ja-JP"/>
        </w:rPr>
      </w:pPr>
      <w:r w:rsidRPr="00654E3B">
        <w:rPr>
          <w:rFonts w:cs="Times New Roman"/>
        </w:rPr>
        <w:t>Potreban je sustavan rad na unaprjeđenju unutarnjih plovnih putova kad je riječ o organizaciji, modernizaciji flote, obrazovanju, izgradnji infrastrukture (vodni putovi i luke), održavanju i sigurnosti plovidbe, kao i poboljšanju suradnje sa susjednim zemljama. Potrebno je ispitati mogućnosti za proširenje unutarnjih plovnih putova</w:t>
      </w:r>
      <w:r w:rsidR="00C64641" w:rsidRPr="00654E3B">
        <w:rPr>
          <w:rFonts w:cs="Times New Roman"/>
        </w:rPr>
        <w:t>;</w:t>
      </w:r>
    </w:p>
    <w:p w:rsidR="007D4A93" w:rsidRPr="00654E3B" w:rsidRDefault="00EF0BEB" w:rsidP="000C6795">
      <w:pPr>
        <w:pStyle w:val="ListParagraph"/>
        <w:numPr>
          <w:ilvl w:val="0"/>
          <w:numId w:val="50"/>
        </w:numPr>
        <w:rPr>
          <w:rFonts w:cs="Times New Roman"/>
        </w:rPr>
      </w:pPr>
      <w:r w:rsidRPr="00654E3B">
        <w:rPr>
          <w:rFonts w:cs="Times New Roman"/>
        </w:rPr>
        <w:t>Potrebno je ulagati u razvoj inteligentnih i integriranih urbanih i javnih prometnih sustava koji uključuju razvoj urbane biciklističke infrastrukture, optimiranje gradske logistike u prijevozu tereta, inteligentno upravljanje javnim prometom i parkirnim površinama te poticanje tehničkih inovacija u urbanom prometu s ciljem smanjenja emisija stakleničkih plinova. Posebno je važno osigurati razvoj infrastrukture i mogućnosti za primjenu alternativnih goriva u javnom prometu</w:t>
      </w:r>
      <w:r w:rsidR="00C64641" w:rsidRPr="00654E3B">
        <w:rPr>
          <w:rFonts w:cs="Times New Roman"/>
        </w:rPr>
        <w:t>;</w:t>
      </w:r>
    </w:p>
    <w:p w:rsidR="007D4A93" w:rsidRPr="00654E3B" w:rsidRDefault="00EF0BEB" w:rsidP="000C6795">
      <w:pPr>
        <w:pStyle w:val="ListParagraph"/>
        <w:numPr>
          <w:ilvl w:val="0"/>
          <w:numId w:val="50"/>
        </w:numPr>
        <w:rPr>
          <w:rFonts w:cs="Times New Roman"/>
        </w:rPr>
      </w:pPr>
      <w:r w:rsidRPr="00654E3B">
        <w:rPr>
          <w:rFonts w:cs="Times New Roman"/>
        </w:rPr>
        <w:t>Ključno je osigurati infrastrukturu za alternativna goriva, s naglaskom na urbana područja kako bi se potaknula primjena alternativnih goriva prvenstveno u javnom gradskom prometu</w:t>
      </w:r>
      <w:r w:rsidR="00C64641" w:rsidRPr="00654E3B">
        <w:rPr>
          <w:rFonts w:cs="Times New Roman"/>
        </w:rPr>
        <w:t>;</w:t>
      </w:r>
    </w:p>
    <w:p w:rsidR="007D4A93" w:rsidRPr="00654E3B" w:rsidRDefault="00EF0BEB" w:rsidP="000C6795">
      <w:pPr>
        <w:pStyle w:val="ListParagraph"/>
        <w:numPr>
          <w:ilvl w:val="0"/>
          <w:numId w:val="50"/>
        </w:numPr>
        <w:rPr>
          <w:rFonts w:cs="Times New Roman"/>
        </w:rPr>
      </w:pPr>
      <w:r w:rsidRPr="00654E3B">
        <w:rPr>
          <w:rFonts w:cs="Times New Roman"/>
        </w:rPr>
        <w:t>Potrebno je nastaviti sustavno provoditi promocije i kampanje s poticanjem transformacije mišljenja i djelovanja stanovnika u smjeru korištenja</w:t>
      </w:r>
      <w:r w:rsidR="008A15FF" w:rsidRPr="00654E3B">
        <w:rPr>
          <w:rFonts w:cs="Times New Roman"/>
        </w:rPr>
        <w:t xml:space="preserve"> vidova</w:t>
      </w:r>
      <w:r w:rsidRPr="00654E3B">
        <w:rPr>
          <w:rFonts w:cs="Times New Roman"/>
        </w:rPr>
        <w:t xml:space="preserve"> prometa kojima se smanjuju emisije stakleničkih plinova.</w:t>
      </w:r>
    </w:p>
    <w:p w:rsidR="007D4A93" w:rsidRPr="00654E3B" w:rsidRDefault="00EF0BEB">
      <w:pPr>
        <w:rPr>
          <w:rFonts w:cs="Times New Roman"/>
          <w:u w:val="single"/>
        </w:rPr>
      </w:pPr>
      <w:r w:rsidRPr="00654E3B">
        <w:rPr>
          <w:rFonts w:cs="Times New Roman"/>
          <w:u w:val="single"/>
        </w:rPr>
        <w:t>Do 2050. godine</w:t>
      </w:r>
    </w:p>
    <w:p w:rsidR="007D4A93" w:rsidRPr="00654E3B" w:rsidRDefault="00EF0BEB" w:rsidP="000C6795">
      <w:pPr>
        <w:pStyle w:val="ListParagraph"/>
        <w:numPr>
          <w:ilvl w:val="0"/>
          <w:numId w:val="49"/>
        </w:numPr>
        <w:rPr>
          <w:rFonts w:cs="Times New Roman"/>
        </w:rPr>
      </w:pPr>
      <w:r w:rsidRPr="00654E3B">
        <w:rPr>
          <w:rFonts w:cs="Times New Roman"/>
        </w:rPr>
        <w:t>Nastaviti aktivnosti ovisno o uspješnosti razvoja do 2030. godine. Ključno će biti daljnje korištenje alternativnih goriva za osobna vozila. Potrebno će biti nastaviti procese razvoja i unaprjeđenja integriranog i željezničkog te riječnog prometa kao vrlo važnog čimbenika za smanjenje emisija i povećanje konkurentnosti gospodarstva</w:t>
      </w:r>
      <w:r w:rsidR="00C64641" w:rsidRPr="00654E3B">
        <w:rPr>
          <w:rFonts w:cs="Times New Roman"/>
        </w:rPr>
        <w:t>;</w:t>
      </w:r>
    </w:p>
    <w:p w:rsidR="007D4A93" w:rsidRPr="00654E3B" w:rsidRDefault="00EF0BEB" w:rsidP="000C6795">
      <w:pPr>
        <w:pStyle w:val="ListParagraph"/>
        <w:numPr>
          <w:ilvl w:val="0"/>
          <w:numId w:val="49"/>
        </w:numPr>
        <w:rPr>
          <w:rFonts w:cs="Times New Roman"/>
        </w:rPr>
      </w:pPr>
      <w:r w:rsidRPr="00654E3B">
        <w:rPr>
          <w:rFonts w:cs="Times New Roman"/>
        </w:rPr>
        <w:t>Biti će veliki značaj informacijske tehnologije za optimiranje prometnih sustava te integriranje s elektroenergetskim sustavom</w:t>
      </w:r>
      <w:r w:rsidR="00C64641" w:rsidRPr="00654E3B">
        <w:rPr>
          <w:rFonts w:cs="Times New Roman"/>
        </w:rPr>
        <w:t>;</w:t>
      </w:r>
    </w:p>
    <w:p w:rsidR="007D4A93" w:rsidRPr="00654E3B" w:rsidRDefault="00EF0BEB" w:rsidP="000C6795">
      <w:pPr>
        <w:pStyle w:val="ListParagraph"/>
        <w:numPr>
          <w:ilvl w:val="0"/>
          <w:numId w:val="49"/>
        </w:numPr>
        <w:rPr>
          <w:rFonts w:cs="Times New Roman"/>
        </w:rPr>
      </w:pPr>
      <w:r w:rsidRPr="00654E3B">
        <w:rPr>
          <w:rFonts w:cs="Times New Roman"/>
        </w:rPr>
        <w:t>Biti će jako važna primjena alternativnih goriva i integriranog gradskog prometa koji uključuje javni gradski promet, inteligentne sustave za prijevoz tereta te razvijenu biciklističku infrastrukturu kako bi se gotovo potpuno eliminirale emisije stakleničkih plinova iz urbanih sredina</w:t>
      </w:r>
      <w:r w:rsidR="00B50AE6" w:rsidRPr="00654E3B">
        <w:rPr>
          <w:rFonts w:cs="Times New Roman"/>
        </w:rPr>
        <w:t>;</w:t>
      </w:r>
    </w:p>
    <w:p w:rsidR="007D4A93" w:rsidRPr="00654E3B" w:rsidRDefault="00EF0BEB" w:rsidP="000C6795">
      <w:pPr>
        <w:pStyle w:val="ListParagraph"/>
        <w:numPr>
          <w:ilvl w:val="0"/>
          <w:numId w:val="49"/>
        </w:numPr>
        <w:rPr>
          <w:rFonts w:cs="Times New Roman"/>
        </w:rPr>
      </w:pPr>
      <w:r w:rsidRPr="00654E3B">
        <w:rPr>
          <w:rFonts w:cs="Times New Roman"/>
        </w:rPr>
        <w:t>Za smanjenje emisija u teškom teretnom prometu bit</w:t>
      </w:r>
      <w:r w:rsidR="00B50AE6" w:rsidRPr="00654E3B">
        <w:rPr>
          <w:rFonts w:cs="Times New Roman"/>
        </w:rPr>
        <w:t>i</w:t>
      </w:r>
      <w:r w:rsidRPr="00654E3B">
        <w:rPr>
          <w:rFonts w:cs="Times New Roman"/>
        </w:rPr>
        <w:t xml:space="preserve"> će potrebna alternativna goriva,  posebice korištenje vodika primjenom gorivih ćelija, te korištenje sintetskih plinskih i tekućih goriva. Sustavi transporta trebaju biti visoko optimirani primjenom ICT rješenja i korištenjem autonomnih vozila gdje je to moguće.</w:t>
      </w:r>
    </w:p>
    <w:p w:rsidR="007D4A93" w:rsidRPr="00654E3B" w:rsidRDefault="00EF0BEB">
      <w:pPr>
        <w:pStyle w:val="Heading2"/>
        <w:rPr>
          <w:rFonts w:ascii="Times New Roman" w:hAnsi="Times New Roman" w:cs="Times New Roman"/>
        </w:rPr>
      </w:pPr>
      <w:bookmarkStart w:id="241" w:name="_Toc20841307"/>
      <w:bookmarkStart w:id="242" w:name="_Toc20841413"/>
      <w:bookmarkStart w:id="243" w:name="_Toc69810176"/>
      <w:r w:rsidRPr="00654E3B">
        <w:rPr>
          <w:rFonts w:ascii="Times New Roman" w:hAnsi="Times New Roman" w:cs="Times New Roman"/>
        </w:rPr>
        <w:t>6.4.</w:t>
      </w:r>
      <w:r w:rsidRPr="00654E3B">
        <w:rPr>
          <w:rFonts w:ascii="Times New Roman" w:hAnsi="Times New Roman" w:cs="Times New Roman"/>
        </w:rPr>
        <w:tab/>
        <w:t>SEKTOR OPĆE POTROŠNJE</w:t>
      </w:r>
      <w:bookmarkEnd w:id="241"/>
      <w:bookmarkEnd w:id="242"/>
      <w:bookmarkEnd w:id="243"/>
    </w:p>
    <w:p w:rsidR="007D4A93" w:rsidRPr="00654E3B" w:rsidRDefault="00EF0BEB" w:rsidP="009F6651">
      <w:pPr>
        <w:pStyle w:val="Heading3"/>
      </w:pPr>
      <w:bookmarkStart w:id="244" w:name="_Toc69810177"/>
      <w:r w:rsidRPr="00654E3B">
        <w:t>6.4.1.</w:t>
      </w:r>
      <w:r w:rsidRPr="00654E3B">
        <w:tab/>
        <w:t>Emisije stakleničkih plinova</w:t>
      </w:r>
      <w:bookmarkEnd w:id="244"/>
    </w:p>
    <w:p w:rsidR="007D4A93" w:rsidRPr="00654E3B" w:rsidRDefault="007D4A93">
      <w:pPr>
        <w:rPr>
          <w:rFonts w:cs="Times New Roman"/>
        </w:rPr>
      </w:pPr>
    </w:p>
    <w:p w:rsidR="007D4A93" w:rsidRPr="00654E3B" w:rsidRDefault="00EF0BEB">
      <w:pPr>
        <w:spacing w:line="240" w:lineRule="auto"/>
        <w:rPr>
          <w:rFonts w:cs="Times New Roman"/>
        </w:rPr>
      </w:pPr>
      <w:bookmarkStart w:id="245" w:name="_Hlk38269071"/>
      <w:bookmarkStart w:id="246" w:name="_Hlk36802382"/>
      <w:r w:rsidRPr="00654E3B">
        <w:rPr>
          <w:rFonts w:cs="Times New Roman"/>
        </w:rPr>
        <w:t>Emisije u sektoru opće potrošnje (kućanstva, usluge i potrošnja energije u poljoprivredi, šumarstvu i ribarstvu)</w:t>
      </w:r>
      <w:r w:rsidR="00B50AE6" w:rsidRPr="00654E3B">
        <w:rPr>
          <w:rFonts w:cs="Times New Roman"/>
        </w:rPr>
        <w:t>,</w:t>
      </w:r>
      <w:r w:rsidRPr="00654E3B">
        <w:rPr>
          <w:rFonts w:cs="Times New Roman"/>
        </w:rPr>
        <w:t xml:space="preserve"> 2018. godine činile su 13,5</w:t>
      </w:r>
      <w:r w:rsidR="00060992" w:rsidRPr="00654E3B">
        <w:rPr>
          <w:rFonts w:cs="Times New Roman"/>
        </w:rPr>
        <w:t xml:space="preserve"> %</w:t>
      </w:r>
      <w:r w:rsidRPr="00654E3B">
        <w:rPr>
          <w:rFonts w:cs="Times New Roman"/>
        </w:rPr>
        <w:t xml:space="preserve"> ukupnih emisija, od čega se 58,1</w:t>
      </w:r>
      <w:r w:rsidR="00060992" w:rsidRPr="00654E3B">
        <w:rPr>
          <w:rFonts w:cs="Times New Roman"/>
        </w:rPr>
        <w:t xml:space="preserve"> %</w:t>
      </w:r>
      <w:r w:rsidRPr="00654E3B">
        <w:rPr>
          <w:rFonts w:cs="Times New Roman"/>
        </w:rPr>
        <w:t xml:space="preserve"> odnosi na kućanstva, 18,7</w:t>
      </w:r>
      <w:r w:rsidR="00060992" w:rsidRPr="00654E3B">
        <w:rPr>
          <w:rFonts w:cs="Times New Roman"/>
        </w:rPr>
        <w:t xml:space="preserve"> %</w:t>
      </w:r>
      <w:r w:rsidRPr="00654E3B">
        <w:rPr>
          <w:rFonts w:cs="Times New Roman"/>
        </w:rPr>
        <w:t xml:space="preserve"> na uslužni sektor te 22,1</w:t>
      </w:r>
      <w:r w:rsidR="00060992" w:rsidRPr="00654E3B">
        <w:rPr>
          <w:rFonts w:cs="Times New Roman"/>
        </w:rPr>
        <w:t xml:space="preserve"> %</w:t>
      </w:r>
      <w:r w:rsidRPr="00654E3B">
        <w:rPr>
          <w:rFonts w:cs="Times New Roman"/>
        </w:rPr>
        <w:t xml:space="preserve"> na emisije od izgaranja goriva u poljoprivredi, šumarstvu i ribarstvu.</w:t>
      </w:r>
      <w:bookmarkEnd w:id="245"/>
      <w:r w:rsidRPr="00654E3B">
        <w:rPr>
          <w:rFonts w:cs="Times New Roman"/>
        </w:rPr>
        <w:t xml:space="preserve"> Unatoč relativno niskom doprinosu ovoga sektora sa stajališta emisija, njegov utjecaj na energetski sustav te potencijal za uštede energije je velik. Potrošnja energije u sektoru opće potrošnje je u 2018. godini iznosila 144 PJ, odnosno 50,3</w:t>
      </w:r>
      <w:r w:rsidR="00060992" w:rsidRPr="00654E3B">
        <w:rPr>
          <w:rFonts w:cs="Times New Roman"/>
        </w:rPr>
        <w:t xml:space="preserve"> %</w:t>
      </w:r>
      <w:r w:rsidRPr="00654E3B">
        <w:rPr>
          <w:rFonts w:cs="Times New Roman"/>
        </w:rPr>
        <w:t xml:space="preserve"> neposredne energetske potrošnje, odnosno 35,3</w:t>
      </w:r>
      <w:r w:rsidR="00060992" w:rsidRPr="00654E3B">
        <w:rPr>
          <w:rFonts w:cs="Times New Roman"/>
        </w:rPr>
        <w:t xml:space="preserve"> %</w:t>
      </w:r>
      <w:r w:rsidRPr="00654E3B">
        <w:rPr>
          <w:rFonts w:cs="Times New Roman"/>
        </w:rPr>
        <w:t xml:space="preserve"> ukupne potrošnje energije u Republici Hrvatskoj</w:t>
      </w:r>
      <w:bookmarkEnd w:id="246"/>
      <w:r w:rsidRPr="00654E3B">
        <w:rPr>
          <w:rFonts w:cs="Times New Roman"/>
        </w:rPr>
        <w:t xml:space="preserve">. </w:t>
      </w:r>
    </w:p>
    <w:p w:rsidR="007D4A93" w:rsidRPr="00654E3B" w:rsidRDefault="00EF0BEB">
      <w:pPr>
        <w:spacing w:line="240" w:lineRule="auto"/>
        <w:rPr>
          <w:rFonts w:cs="Times New Roman"/>
        </w:rPr>
      </w:pPr>
      <w:r w:rsidRPr="00654E3B">
        <w:rPr>
          <w:rFonts w:cs="Times New Roman"/>
        </w:rPr>
        <w:t>U ovom sektoru se u odnosu na 1990. godinu, u niskougljičnim scenarijima NU1 i NU2, postiže smanjenje emisije za 30,2 do 34</w:t>
      </w:r>
      <w:r w:rsidR="00060992" w:rsidRPr="00654E3B">
        <w:rPr>
          <w:rFonts w:cs="Times New Roman"/>
        </w:rPr>
        <w:t xml:space="preserve"> %</w:t>
      </w:r>
      <w:r w:rsidRPr="00654E3B">
        <w:rPr>
          <w:rFonts w:cs="Times New Roman"/>
        </w:rPr>
        <w:t xml:space="preserve"> u 2030. godini te za 55,3 do 73,8</w:t>
      </w:r>
      <w:r w:rsidR="00060992" w:rsidRPr="00654E3B">
        <w:rPr>
          <w:rFonts w:cs="Times New Roman"/>
        </w:rPr>
        <w:t xml:space="preserve"> %</w:t>
      </w:r>
      <w:r w:rsidRPr="00654E3B">
        <w:rPr>
          <w:rFonts w:cs="Times New Roman"/>
        </w:rPr>
        <w:t xml:space="preserve"> u 2050. godini. To je sektor koji je pod najsnažnijom regulacijom u pogledu normi, ali i najsnažnije ovisan o promjena</w:t>
      </w:r>
      <w:r w:rsidR="00B50AE6" w:rsidRPr="00654E3B">
        <w:rPr>
          <w:rFonts w:cs="Times New Roman"/>
        </w:rPr>
        <w:t>ma</w:t>
      </w:r>
      <w:r w:rsidRPr="00654E3B">
        <w:rPr>
          <w:rFonts w:cs="Times New Roman"/>
        </w:rPr>
        <w:t xml:space="preserve"> u načinu ponašanja.</w:t>
      </w:r>
    </w:p>
    <w:p w:rsidR="007D4A93" w:rsidRPr="00654E3B" w:rsidRDefault="00EF0BEB" w:rsidP="009F6651">
      <w:pPr>
        <w:pStyle w:val="Heading3"/>
      </w:pPr>
      <w:bookmarkStart w:id="247" w:name="_Toc69810178"/>
      <w:r w:rsidRPr="00654E3B">
        <w:lastRenderedPageBreak/>
        <w:t>6.4.2. Politike i mjere za niskougljični razvoj</w:t>
      </w:r>
      <w:bookmarkEnd w:id="247"/>
    </w:p>
    <w:p w:rsidR="007D4A93" w:rsidRPr="00654E3B" w:rsidRDefault="007D4A93" w:rsidP="00AB40C9">
      <w:pPr>
        <w:keepNext/>
        <w:rPr>
          <w:rFonts w:cs="Times New Roman"/>
        </w:rPr>
      </w:pPr>
    </w:p>
    <w:p w:rsidR="007D4A93" w:rsidRPr="00654E3B" w:rsidRDefault="00EF0BEB" w:rsidP="00AB40C9">
      <w:pPr>
        <w:keepNext/>
        <w:rPr>
          <w:rFonts w:cs="Times New Roman"/>
        </w:rPr>
      </w:pPr>
      <w:r w:rsidRPr="00654E3B">
        <w:rPr>
          <w:rFonts w:cs="Times New Roman"/>
        </w:rPr>
        <w:t>U sektoru opće potrošnje postoji veliki potencijal za uštedu energije, a time i smanjenje emisija, prvenstveno kroz:</w:t>
      </w:r>
    </w:p>
    <w:p w:rsidR="007D4A93" w:rsidRPr="00654E3B" w:rsidRDefault="00EF0BEB" w:rsidP="000C6795">
      <w:pPr>
        <w:pStyle w:val="ListParagraph"/>
        <w:numPr>
          <w:ilvl w:val="0"/>
          <w:numId w:val="79"/>
        </w:numPr>
        <w:ind w:left="714" w:hanging="357"/>
        <w:rPr>
          <w:rFonts w:cs="Times New Roman"/>
        </w:rPr>
      </w:pPr>
      <w:r w:rsidRPr="00654E3B">
        <w:rPr>
          <w:rFonts w:cs="Times New Roman"/>
        </w:rPr>
        <w:t>dekarbonizaciju nacionalnog fonda zgrada</w:t>
      </w:r>
      <w:r w:rsidR="00B50AE6" w:rsidRPr="00654E3B">
        <w:rPr>
          <w:rFonts w:cs="Times New Roman"/>
        </w:rPr>
        <w:t>,</w:t>
      </w:r>
      <w:r w:rsidRPr="00654E3B">
        <w:rPr>
          <w:rFonts w:cs="Times New Roman"/>
        </w:rPr>
        <w:t xml:space="preserve"> kroz energetsku obnovu stambenih i nestambenih zgrada</w:t>
      </w:r>
      <w:r w:rsidR="00B50AE6" w:rsidRPr="00654E3B">
        <w:rPr>
          <w:rFonts w:cs="Times New Roman"/>
        </w:rPr>
        <w:t>,</w:t>
      </w:r>
      <w:r w:rsidRPr="00654E3B">
        <w:rPr>
          <w:rFonts w:cs="Times New Roman"/>
        </w:rPr>
        <w:t xml:space="preserve"> s usmjeravanjem obnove prema dubinskim obnovama i zgrade gotovo nulte energije  (nZEB)</w:t>
      </w:r>
      <w:r w:rsidR="00B50AE6" w:rsidRPr="00654E3B">
        <w:rPr>
          <w:rFonts w:cs="Times New Roman"/>
        </w:rPr>
        <w:t>,</w:t>
      </w:r>
      <w:r w:rsidRPr="00654E3B">
        <w:rPr>
          <w:rFonts w:cs="Times New Roman"/>
        </w:rPr>
        <w:t xml:space="preserve"> standardu utvrđenom za obnovu</w:t>
      </w:r>
      <w:r w:rsidR="00B50AE6" w:rsidRPr="00654E3B">
        <w:rPr>
          <w:rFonts w:cs="Times New Roman"/>
        </w:rPr>
        <w:t>;</w:t>
      </w:r>
    </w:p>
    <w:p w:rsidR="007D4A93" w:rsidRPr="00654E3B" w:rsidRDefault="00EF0BEB" w:rsidP="000C6795">
      <w:pPr>
        <w:pStyle w:val="ListParagraph"/>
        <w:numPr>
          <w:ilvl w:val="0"/>
          <w:numId w:val="79"/>
        </w:numPr>
        <w:ind w:left="714" w:hanging="357"/>
        <w:rPr>
          <w:rFonts w:cs="Times New Roman"/>
        </w:rPr>
      </w:pPr>
      <w:r w:rsidRPr="00654E3B">
        <w:rPr>
          <w:rFonts w:cs="Times New Roman"/>
        </w:rPr>
        <w:t>zamjenu demoliranog dijela fonda zgradama gotovo nulte energije</w:t>
      </w:r>
      <w:r w:rsidR="00B50AE6" w:rsidRPr="00654E3B">
        <w:rPr>
          <w:rFonts w:cs="Times New Roman"/>
        </w:rPr>
        <w:t>;</w:t>
      </w:r>
    </w:p>
    <w:p w:rsidR="007D4A93" w:rsidRPr="00654E3B" w:rsidRDefault="00EF0BEB" w:rsidP="000C6795">
      <w:pPr>
        <w:pStyle w:val="ListParagraph"/>
        <w:numPr>
          <w:ilvl w:val="0"/>
          <w:numId w:val="79"/>
        </w:numPr>
        <w:ind w:left="714" w:hanging="357"/>
        <w:rPr>
          <w:rFonts w:cs="Times New Roman"/>
        </w:rPr>
      </w:pPr>
      <w:r w:rsidRPr="00654E3B">
        <w:rPr>
          <w:rFonts w:cs="Times New Roman"/>
        </w:rPr>
        <w:t>zamjenu postojećih kućanskih uređaja, uredske opreme i rasvjete visokoučinkovitima.</w:t>
      </w:r>
    </w:p>
    <w:p w:rsidR="007D4A93" w:rsidRPr="00654E3B" w:rsidRDefault="00EF0BEB">
      <w:pPr>
        <w:rPr>
          <w:rFonts w:cs="Times New Roman"/>
        </w:rPr>
      </w:pPr>
      <w:r w:rsidRPr="00654E3B">
        <w:rPr>
          <w:rFonts w:cs="Times New Roman"/>
          <w:b/>
        </w:rPr>
        <w:t>Energetska obnova zgrada</w:t>
      </w:r>
      <w:r w:rsidR="003D4BC1" w:rsidRPr="00654E3B">
        <w:rPr>
          <w:rFonts w:cs="Times New Roman"/>
          <w:b/>
        </w:rPr>
        <w:t xml:space="preserve"> </w:t>
      </w:r>
    </w:p>
    <w:p w:rsidR="00E158B5" w:rsidRPr="00654E3B" w:rsidRDefault="00E158B5" w:rsidP="00E158B5">
      <w:pPr>
        <w:rPr>
          <w:rFonts w:cs="Times New Roman"/>
          <w:lang w:eastAsia="hr-HR"/>
        </w:rPr>
      </w:pPr>
      <w:r w:rsidRPr="00654E3B">
        <w:rPr>
          <w:rFonts w:cs="Times New Roman"/>
          <w:lang w:eastAsia="hr-HR"/>
        </w:rPr>
        <w:t>Postojeće mjere za poticanje obnove zgrada u RH</w:t>
      </w:r>
      <w:r w:rsidR="00B50AE6" w:rsidRPr="00654E3B">
        <w:rPr>
          <w:rFonts w:cs="Times New Roman"/>
          <w:lang w:eastAsia="hr-HR"/>
        </w:rPr>
        <w:t>,</w:t>
      </w:r>
      <w:r w:rsidRPr="00654E3B">
        <w:rPr>
          <w:rFonts w:cs="Times New Roman"/>
          <w:lang w:eastAsia="hr-HR"/>
        </w:rPr>
        <w:t xml:space="preserve"> obuhvaćaju prvenstveno provedbu nacionalnih programa energetske obnove i obuhvaćaju sve namjene zgrada, privatne, javne i komercijalne korisnike, kao i zgrade najlošijih  svojstava na potpomognutim područjima i područjima od posebne državne skrbi. </w:t>
      </w:r>
    </w:p>
    <w:p w:rsidR="00E158B5" w:rsidRPr="00654E3B" w:rsidRDefault="00E158B5" w:rsidP="00E158B5">
      <w:pPr>
        <w:rPr>
          <w:rFonts w:cs="Times New Roman"/>
          <w:lang w:eastAsia="hr-HR"/>
        </w:rPr>
      </w:pPr>
      <w:r w:rsidRPr="00654E3B">
        <w:rPr>
          <w:rFonts w:cs="Times New Roman"/>
          <w:lang w:eastAsia="hr-HR"/>
        </w:rPr>
        <w:t>Strateški cilj postavljen u Dugoročnoj strategiji obnove nacionalnog fonda zgrada do 2050. godine (</w:t>
      </w:r>
      <w:r w:rsidR="001C0429" w:rsidRPr="00654E3B">
        <w:rPr>
          <w:rFonts w:cs="Times New Roman"/>
          <w:lang w:eastAsia="hr-HR"/>
        </w:rPr>
        <w:t>Narodne novine</w:t>
      </w:r>
      <w:r w:rsidR="00430F83" w:rsidRPr="00654E3B">
        <w:rPr>
          <w:rFonts w:cs="Times New Roman"/>
          <w:lang w:eastAsia="hr-HR"/>
        </w:rPr>
        <w:t>,</w:t>
      </w:r>
      <w:r w:rsidRPr="00654E3B">
        <w:rPr>
          <w:rFonts w:cs="Times New Roman"/>
          <w:lang w:eastAsia="hr-HR"/>
        </w:rPr>
        <w:t xml:space="preserve"> br</w:t>
      </w:r>
      <w:r w:rsidR="001C0429" w:rsidRPr="00654E3B">
        <w:rPr>
          <w:rFonts w:cs="Times New Roman"/>
          <w:lang w:eastAsia="hr-HR"/>
        </w:rPr>
        <w:t>oj</w:t>
      </w:r>
      <w:r w:rsidRPr="00654E3B">
        <w:rPr>
          <w:rFonts w:cs="Times New Roman"/>
          <w:lang w:eastAsia="hr-HR"/>
        </w:rPr>
        <w:t xml:space="preserve"> 140/20)</w:t>
      </w:r>
      <w:r w:rsidR="00B50AE6" w:rsidRPr="00654E3B">
        <w:rPr>
          <w:rFonts w:cs="Times New Roman"/>
          <w:lang w:eastAsia="hr-HR"/>
        </w:rPr>
        <w:t>,</w:t>
      </w:r>
      <w:r w:rsidRPr="00654E3B">
        <w:rPr>
          <w:rFonts w:cs="Times New Roman"/>
          <w:lang w:eastAsia="hr-HR"/>
        </w:rPr>
        <w:t xml:space="preserve"> jest transformirati postojeći fond zgrada u visokoučinkovit fond do 2050.godine. To znači stopu obnove podići s trenutnih 0.7 </w:t>
      </w:r>
      <w:r w:rsidR="00060992" w:rsidRPr="00654E3B">
        <w:rPr>
          <w:rFonts w:cs="Times New Roman"/>
          <w:lang w:eastAsia="hr-HR"/>
        </w:rPr>
        <w:t xml:space="preserve"> %</w:t>
      </w:r>
      <w:r w:rsidRPr="00654E3B">
        <w:rPr>
          <w:rFonts w:cs="Times New Roman"/>
          <w:lang w:eastAsia="hr-HR"/>
        </w:rPr>
        <w:t xml:space="preserve"> godišnje (1.350.000 m²) na 3 </w:t>
      </w:r>
      <w:r w:rsidR="00060992" w:rsidRPr="00654E3B">
        <w:rPr>
          <w:rFonts w:cs="Times New Roman"/>
          <w:lang w:eastAsia="hr-HR"/>
        </w:rPr>
        <w:t xml:space="preserve"> %</w:t>
      </w:r>
      <w:r w:rsidRPr="00654E3B">
        <w:rPr>
          <w:rFonts w:cs="Times New Roman"/>
          <w:lang w:eastAsia="hr-HR"/>
        </w:rPr>
        <w:t xml:space="preserve"> 2030. godine, zatim na 3,5 </w:t>
      </w:r>
      <w:r w:rsidR="00060992" w:rsidRPr="00654E3B">
        <w:rPr>
          <w:rFonts w:cs="Times New Roman"/>
          <w:lang w:eastAsia="hr-HR"/>
        </w:rPr>
        <w:t xml:space="preserve"> %</w:t>
      </w:r>
      <w:r w:rsidRPr="00654E3B">
        <w:rPr>
          <w:rFonts w:cs="Times New Roman"/>
          <w:lang w:eastAsia="hr-HR"/>
        </w:rPr>
        <w:t xml:space="preserve"> od 2031. do 2040. godine te na 4 </w:t>
      </w:r>
      <w:r w:rsidR="00060992" w:rsidRPr="00654E3B">
        <w:rPr>
          <w:rFonts w:cs="Times New Roman"/>
          <w:lang w:eastAsia="hr-HR"/>
        </w:rPr>
        <w:t xml:space="preserve"> %</w:t>
      </w:r>
      <w:r w:rsidRPr="00654E3B">
        <w:rPr>
          <w:rFonts w:cs="Times New Roman"/>
          <w:lang w:eastAsia="hr-HR"/>
        </w:rPr>
        <w:t xml:space="preserve"> od 2041. do 2050. godine. Iskazano u površini obnovljenih zgrada, cilj iznosi 30,84 milijuna m² obnovljenih zgrada do 2030., 41,06 milijuna m² od 2030. do 2040. i 32,10 milijuna m² od 2040. do 2050. godine. Dodatni pokazatelji napretka koji će se pratiti kroz registar izdanih energetskih cerifikata zgrada</w:t>
      </w:r>
      <w:r w:rsidR="00B50AE6" w:rsidRPr="00654E3B">
        <w:rPr>
          <w:rFonts w:cs="Times New Roman"/>
          <w:lang w:eastAsia="hr-HR"/>
        </w:rPr>
        <w:t>,</w:t>
      </w:r>
      <w:r w:rsidRPr="00654E3B">
        <w:rPr>
          <w:rFonts w:cs="Times New Roman"/>
          <w:lang w:eastAsia="hr-HR"/>
        </w:rPr>
        <w:t xml:space="preserve"> su povećanje kvalitete vanjske ovojnice, broj i površina nZEB zgrada i rekonstruiranih zgrada na razinu nZEB. Također se prati smanjenje potrošnje energije u zgradama javnog sektora i stambenim zgradama, prosječna potrebna toplinska energija za grijanje/hlađenje u obnovljenoj zgradi javnog sektora, doprinos smanjenju potrošnje energije i doprinos razvoju gospodarstva kroz povećanje broja zaposlenih tijekom obnove.</w:t>
      </w:r>
    </w:p>
    <w:p w:rsidR="00E158B5" w:rsidRPr="00654E3B" w:rsidRDefault="00E158B5" w:rsidP="00E158B5">
      <w:pPr>
        <w:rPr>
          <w:rFonts w:cs="Times New Roman"/>
          <w:lang w:eastAsia="hr-HR"/>
        </w:rPr>
      </w:pPr>
      <w:r w:rsidRPr="00654E3B">
        <w:rPr>
          <w:rFonts w:cs="Times New Roman"/>
          <w:lang w:eastAsia="hr-HR"/>
        </w:rPr>
        <w:t>U sljedećem razdoblju posebno će se poticati dubinska obnova</w:t>
      </w:r>
      <w:r w:rsidR="00052088" w:rsidRPr="00654E3B">
        <w:rPr>
          <w:rFonts w:cs="Times New Roman"/>
          <w:lang w:eastAsia="hr-HR"/>
        </w:rPr>
        <w:t>,</w:t>
      </w:r>
      <w:r w:rsidRPr="00654E3B">
        <w:rPr>
          <w:rFonts w:cs="Times New Roman"/>
          <w:lang w:eastAsia="hr-HR"/>
        </w:rPr>
        <w:t xml:space="preserve"> koja obuhvaća mjere energetske učinkovitosti na ovojnici i tehničkim sustavima te rezultira smanjenjem potrošnje energije za grijanje (QH,nd) i primarne energije (Eprim) na godišnjoj razini [kWh/(m2·a)] od najmanje 50 </w:t>
      </w:r>
      <w:r w:rsidR="00060992" w:rsidRPr="00654E3B">
        <w:rPr>
          <w:rFonts w:cs="Times New Roman"/>
          <w:lang w:eastAsia="hr-HR"/>
        </w:rPr>
        <w:t xml:space="preserve"> %</w:t>
      </w:r>
      <w:r w:rsidRPr="00654E3B">
        <w:rPr>
          <w:rFonts w:cs="Times New Roman"/>
          <w:lang w:eastAsia="hr-HR"/>
        </w:rPr>
        <w:t xml:space="preserve"> u odnosu na potrošnju energije prije obnove i sveobuhvatna obnova zgrada koja obuhvaća optimalne mjere poboljšanja postojećeg stanja zgrade te osim mjera energetske obnove zgrade</w:t>
      </w:r>
      <w:r w:rsidR="00052088" w:rsidRPr="00654E3B">
        <w:rPr>
          <w:rFonts w:cs="Times New Roman"/>
          <w:lang w:eastAsia="hr-HR"/>
        </w:rPr>
        <w:t>,</w:t>
      </w:r>
      <w:r w:rsidRPr="00654E3B">
        <w:rPr>
          <w:rFonts w:cs="Times New Roman"/>
          <w:lang w:eastAsia="hr-HR"/>
        </w:rPr>
        <w:t xml:space="preserve"> uključuje i mjere poput povećanja sigurnosti u slučaju požara, mjere za osiguravanje zdravih unutarnjih klimatskih uvjeta, mjere za unapređenje mehaničke otpornosti i stabilnosti zgrade - posebice radi smanjenje rizika povezanih s djelovanjem potresa. </w:t>
      </w:r>
    </w:p>
    <w:p w:rsidR="00E158B5" w:rsidRPr="00654E3B" w:rsidRDefault="00E158B5" w:rsidP="00E158B5">
      <w:pPr>
        <w:rPr>
          <w:rFonts w:cs="Times New Roman"/>
          <w:lang w:eastAsia="hr-HR"/>
        </w:rPr>
      </w:pPr>
      <w:r w:rsidRPr="00654E3B">
        <w:rPr>
          <w:rFonts w:cs="Times New Roman"/>
          <w:lang w:eastAsia="hr-HR"/>
        </w:rPr>
        <w:t>Tehničke mogućnosti za energetsku obnovu</w:t>
      </w:r>
      <w:r w:rsidR="00052088" w:rsidRPr="00654E3B">
        <w:rPr>
          <w:rFonts w:cs="Times New Roman"/>
          <w:lang w:eastAsia="hr-HR"/>
        </w:rPr>
        <w:t>,</w:t>
      </w:r>
      <w:r w:rsidRPr="00654E3B">
        <w:rPr>
          <w:rFonts w:cs="Times New Roman"/>
          <w:lang w:eastAsia="hr-HR"/>
        </w:rPr>
        <w:t xml:space="preserve"> prioritetno se oslanjaju na smanjenje energetskih potreba kroz obnovu vanjske ovojnice zgrade u skladu s važećom regulativom. Zahtjev za nZEB uključuje i unapređenje tehničkih sustava u zgradama te minimalni udio obnovljivih izvora energije sukladno Tehničkom propisu o racionalnoj uporabi energije i toplinskoj zaštiti u zgradama. Zgrade gotovo nulte energije ispunjavaju zahtjeve u pogledu primjene OIE</w:t>
      </w:r>
      <w:r w:rsidR="00052088" w:rsidRPr="00654E3B">
        <w:rPr>
          <w:rFonts w:cs="Times New Roman"/>
          <w:lang w:eastAsia="hr-HR"/>
        </w:rPr>
        <w:t xml:space="preserve">, </w:t>
      </w:r>
      <w:r w:rsidRPr="00654E3B">
        <w:rPr>
          <w:rFonts w:cs="Times New Roman"/>
          <w:lang w:eastAsia="hr-HR"/>
        </w:rPr>
        <w:t xml:space="preserve">ako je najmanje 30 </w:t>
      </w:r>
      <w:r w:rsidR="00060992" w:rsidRPr="00654E3B">
        <w:rPr>
          <w:rFonts w:cs="Times New Roman"/>
          <w:lang w:eastAsia="hr-HR"/>
        </w:rPr>
        <w:t xml:space="preserve"> %</w:t>
      </w:r>
      <w:r w:rsidRPr="00654E3B">
        <w:rPr>
          <w:rFonts w:cs="Times New Roman"/>
          <w:lang w:eastAsia="hr-HR"/>
        </w:rPr>
        <w:t xml:space="preserve"> godišnje isporučene energije za rad tehničkih sustava u zgradi podmireno iz OIE. </w:t>
      </w:r>
    </w:p>
    <w:p w:rsidR="00E158B5" w:rsidRPr="00654E3B" w:rsidRDefault="00E158B5" w:rsidP="00E158B5">
      <w:pPr>
        <w:rPr>
          <w:rFonts w:cs="Times New Roman"/>
          <w:b/>
          <w:lang w:eastAsia="hr-HR"/>
        </w:rPr>
      </w:pPr>
      <w:r w:rsidRPr="00654E3B">
        <w:rPr>
          <w:rFonts w:cs="Times New Roman"/>
          <w:b/>
          <w:lang w:eastAsia="hr-HR"/>
        </w:rPr>
        <w:t>Modernizacija termotehničkih sustava</w:t>
      </w:r>
    </w:p>
    <w:p w:rsidR="00E158B5" w:rsidRPr="00654E3B" w:rsidRDefault="00E158B5" w:rsidP="00E158B5">
      <w:pPr>
        <w:rPr>
          <w:rFonts w:cs="Times New Roman"/>
          <w:lang w:eastAsia="hr-HR"/>
        </w:rPr>
      </w:pPr>
      <w:r w:rsidRPr="00654E3B">
        <w:rPr>
          <w:rFonts w:cs="Times New Roman"/>
          <w:lang w:eastAsia="hr-HR"/>
        </w:rPr>
        <w:t>Obnovu vanjske ovojnice dopunjava centralizacija i modernizacija sustava grijanja, hlađenja i ventilacije te pripreme PTV uz primjenu obnovljivih izvora energije. Potrebno je inzistirati na smanjenju potrebne energije za grijanje i hlađenje od barem 50</w:t>
      </w:r>
      <w:r w:rsidR="00060992" w:rsidRPr="00654E3B">
        <w:rPr>
          <w:rFonts w:cs="Times New Roman"/>
          <w:lang w:eastAsia="hr-HR"/>
        </w:rPr>
        <w:t xml:space="preserve"> %</w:t>
      </w:r>
      <w:r w:rsidR="00052088" w:rsidRPr="00654E3B">
        <w:rPr>
          <w:rFonts w:cs="Times New Roman"/>
          <w:lang w:eastAsia="hr-HR"/>
        </w:rPr>
        <w:t>,</w:t>
      </w:r>
      <w:r w:rsidRPr="00654E3B">
        <w:rPr>
          <w:rFonts w:cs="Times New Roman"/>
          <w:lang w:eastAsia="hr-HR"/>
        </w:rPr>
        <w:t xml:space="preserve"> stoga je nužno poticati provedbu analize korištenja visokoučinkovitih alternativnih sustava te primijeniti te sustave uvijek kada je to izvedivo. Pri tome alternativni sustavi obuhvaćaju: dizalice topline, toplovodne kotlove na biomasu (pelete), solarne toplovodne sustave, fotonaponske sustave, kogeneraciju i daljinsko grijanje. CTS omogućuju centralizirano korištenje OIE u neposrednoj blizini zgrade</w:t>
      </w:r>
      <w:r w:rsidR="00052088" w:rsidRPr="00654E3B">
        <w:rPr>
          <w:rFonts w:cs="Times New Roman"/>
          <w:lang w:eastAsia="hr-HR"/>
        </w:rPr>
        <w:t xml:space="preserve">, </w:t>
      </w:r>
      <w:r w:rsidRPr="00654E3B">
        <w:rPr>
          <w:rFonts w:cs="Times New Roman"/>
          <w:lang w:eastAsia="hr-HR"/>
        </w:rPr>
        <w:t xml:space="preserve">čime se povećava udio OIE na lokacijama gdje su tehničke mogućnosti ugradnje sustava OIE na zgradama ograničene. </w:t>
      </w:r>
    </w:p>
    <w:p w:rsidR="00E158B5" w:rsidRPr="00654E3B" w:rsidRDefault="00E158B5" w:rsidP="00E158B5">
      <w:pPr>
        <w:rPr>
          <w:rFonts w:cs="Times New Roman"/>
          <w:lang w:eastAsia="hr-HR"/>
        </w:rPr>
      </w:pPr>
      <w:r w:rsidRPr="00654E3B">
        <w:rPr>
          <w:rFonts w:cs="Times New Roman"/>
          <w:lang w:eastAsia="hr-HR"/>
        </w:rPr>
        <w:t xml:space="preserve">Poticanje daljnjeg razvoja CTS koji se temelje na visokoučinkovitoj kogeneraciji i korištenju OIE u središtu je politike energetske učinkovitosti EU. </w:t>
      </w:r>
    </w:p>
    <w:p w:rsidR="00E158B5" w:rsidRPr="00654E3B" w:rsidRDefault="00E158B5" w:rsidP="00E158B5">
      <w:pPr>
        <w:rPr>
          <w:rFonts w:cs="Times New Roman"/>
          <w:lang w:eastAsia="hr-HR"/>
        </w:rPr>
      </w:pPr>
      <w:r w:rsidRPr="00654E3B">
        <w:rPr>
          <w:rFonts w:cs="Times New Roman"/>
          <w:lang w:eastAsia="hr-HR"/>
        </w:rPr>
        <w:lastRenderedPageBreak/>
        <w:t>Bez uvođenja malih i mikro kogeneracija, dizalica topline ili spajanje na visokoučinkovite toplinske sustave tijekom obnove zgrada</w:t>
      </w:r>
      <w:r w:rsidR="00052088" w:rsidRPr="00654E3B">
        <w:rPr>
          <w:rFonts w:cs="Times New Roman"/>
          <w:lang w:eastAsia="hr-HR"/>
        </w:rPr>
        <w:t>,</w:t>
      </w:r>
      <w:r w:rsidRPr="00654E3B">
        <w:rPr>
          <w:rFonts w:cs="Times New Roman"/>
          <w:lang w:eastAsia="hr-HR"/>
        </w:rPr>
        <w:t xml:space="preserve"> neće se postići ciljano smanjivanje emisija u zgradarstvu, kao ni standard nulte potrošnje energije za nove zgrade.</w:t>
      </w:r>
    </w:p>
    <w:p w:rsidR="00E158B5" w:rsidRPr="00654E3B" w:rsidRDefault="00E158B5" w:rsidP="00E158B5">
      <w:pPr>
        <w:rPr>
          <w:rFonts w:cs="Times New Roman"/>
          <w:lang w:eastAsia="hr-HR"/>
        </w:rPr>
      </w:pPr>
      <w:r w:rsidRPr="00654E3B">
        <w:rPr>
          <w:rFonts w:cs="Times New Roman"/>
          <w:lang w:eastAsia="hr-HR"/>
        </w:rPr>
        <w:t>Neophodno je ulaganja u velike infrastrukturne programe za toplinarstvo povezati sa energetskom učinkovitosti u zgradarstvu</w:t>
      </w:r>
      <w:r w:rsidR="00052088" w:rsidRPr="00654E3B">
        <w:rPr>
          <w:rFonts w:cs="Times New Roman"/>
          <w:lang w:eastAsia="hr-HR"/>
        </w:rPr>
        <w:t>,</w:t>
      </w:r>
      <w:r w:rsidRPr="00654E3B">
        <w:rPr>
          <w:rFonts w:cs="Times New Roman"/>
          <w:lang w:eastAsia="hr-HR"/>
        </w:rPr>
        <w:t xml:space="preserve"> kako bi se postigli željeni ciljevi.</w:t>
      </w:r>
    </w:p>
    <w:p w:rsidR="007D4A93" w:rsidRPr="00654E3B" w:rsidRDefault="00EF0BEB" w:rsidP="009F6651">
      <w:pPr>
        <w:pStyle w:val="Heading3"/>
      </w:pPr>
      <w:bookmarkStart w:id="248" w:name="_Toc69810179"/>
      <w:r w:rsidRPr="00654E3B">
        <w:t>6.4.3. Smjernice za niskougljični razvoj</w:t>
      </w:r>
      <w:bookmarkEnd w:id="248"/>
    </w:p>
    <w:p w:rsidR="007D4A93" w:rsidRPr="00654E3B" w:rsidRDefault="007D4A93">
      <w:pPr>
        <w:keepNext/>
        <w:rPr>
          <w:rFonts w:cs="Times New Roman"/>
        </w:rPr>
      </w:pPr>
    </w:p>
    <w:p w:rsidR="007D4A93" w:rsidRPr="00654E3B" w:rsidRDefault="00EF0BEB">
      <w:pPr>
        <w:keepNext/>
        <w:rPr>
          <w:rFonts w:cs="Times New Roman"/>
          <w:u w:val="single"/>
        </w:rPr>
      </w:pPr>
      <w:r w:rsidRPr="00654E3B">
        <w:rPr>
          <w:rFonts w:cs="Times New Roman"/>
          <w:u w:val="single"/>
        </w:rPr>
        <w:t>Do 2030. godine</w:t>
      </w:r>
    </w:p>
    <w:p w:rsidR="007D4A93" w:rsidRPr="00654E3B" w:rsidRDefault="00EF0BEB" w:rsidP="000C6795">
      <w:pPr>
        <w:pStyle w:val="ListParagraph"/>
        <w:numPr>
          <w:ilvl w:val="0"/>
          <w:numId w:val="33"/>
        </w:numPr>
        <w:rPr>
          <w:rFonts w:cs="Times New Roman"/>
          <w:lang w:eastAsia="hr-HR"/>
        </w:rPr>
      </w:pPr>
      <w:r w:rsidRPr="00654E3B">
        <w:rPr>
          <w:rFonts w:cs="Times New Roman"/>
          <w:lang w:eastAsia="hr-HR"/>
        </w:rPr>
        <w:t xml:space="preserve">Potrebno je nastaviti provedbu energetske obnove zgrada s konačnim ciljem transformacije postojećeg fonda u energetski visokoučinkovit i dekarboniziran fond zgrada.  </w:t>
      </w:r>
    </w:p>
    <w:p w:rsidR="007D4A93" w:rsidRPr="00654E3B" w:rsidRDefault="00EF0BEB" w:rsidP="000C6795">
      <w:pPr>
        <w:pStyle w:val="ListParagraph"/>
        <w:numPr>
          <w:ilvl w:val="0"/>
          <w:numId w:val="33"/>
        </w:numPr>
        <w:rPr>
          <w:rFonts w:cs="Times New Roman"/>
          <w:lang w:eastAsia="hr-HR"/>
        </w:rPr>
      </w:pPr>
      <w:r w:rsidRPr="00654E3B">
        <w:rPr>
          <w:rFonts w:cs="Times New Roman"/>
          <w:lang w:eastAsia="hr-HR"/>
        </w:rPr>
        <w:t xml:space="preserve">Zbog zahtjeva za povećanjem učinkovitosti i smanjenjem emisija onečišćujućih tvari, preporuča se poticanje CTS-a na biomasu gdje je moguće, a tek potom individualnih sustava koji koriste modernu biomasu, kao što su peleti ili briketi. Potrebno je napraviti dodatnu analizu potreba za poticajima u korištenju OIE za grijanje i hlađenje kako bi se utvrdila nužnost poticaja ovakvih sustava za ostvarenje ciljeva do 2030. godine. </w:t>
      </w:r>
    </w:p>
    <w:p w:rsidR="007D4A93" w:rsidRPr="00654E3B" w:rsidRDefault="00EF0BEB" w:rsidP="000C6795">
      <w:pPr>
        <w:pStyle w:val="ListParagraph"/>
        <w:numPr>
          <w:ilvl w:val="0"/>
          <w:numId w:val="33"/>
        </w:numPr>
        <w:rPr>
          <w:rFonts w:cs="Times New Roman"/>
        </w:rPr>
      </w:pPr>
      <w:r w:rsidRPr="00654E3B">
        <w:rPr>
          <w:rFonts w:cs="Times New Roman"/>
        </w:rPr>
        <w:t xml:space="preserve">Potrebno je izraditi analizu i prijedlog rješenja za zamjenu korištenja krute biomase u kućanstvima, u gradovima koji imaju prekomjerno onečišćenje sitnim česticama i provode akcijske planove poboljšanja kvalitete zraka. </w:t>
      </w:r>
    </w:p>
    <w:p w:rsidR="007D4A93" w:rsidRPr="00654E3B" w:rsidRDefault="00EF0BEB" w:rsidP="000C6795">
      <w:pPr>
        <w:pStyle w:val="ListParagraph"/>
        <w:numPr>
          <w:ilvl w:val="0"/>
          <w:numId w:val="33"/>
        </w:numPr>
        <w:rPr>
          <w:rFonts w:cs="Times New Roman"/>
        </w:rPr>
      </w:pPr>
      <w:r w:rsidRPr="00654E3B">
        <w:rPr>
          <w:rFonts w:cs="Times New Roman"/>
        </w:rPr>
        <w:t>Predlaže se uvođenje planiranja integralne urbane obnove na razini gradskih četvrti</w:t>
      </w:r>
      <w:r w:rsidR="00966DD3" w:rsidRPr="00654E3B">
        <w:rPr>
          <w:rFonts w:cs="Times New Roman"/>
        </w:rPr>
        <w:t>,</w:t>
      </w:r>
      <w:r w:rsidRPr="00654E3B">
        <w:rPr>
          <w:rFonts w:cs="Times New Roman"/>
        </w:rPr>
        <w:t xml:space="preserve"> kako bi se olakšao razvoj CTS-a i modernizacija sustava grijanja. </w:t>
      </w:r>
    </w:p>
    <w:p w:rsidR="007D4A93" w:rsidRPr="00654E3B" w:rsidRDefault="00EF0BEB" w:rsidP="000C6795">
      <w:pPr>
        <w:pStyle w:val="ListParagraph"/>
        <w:numPr>
          <w:ilvl w:val="0"/>
          <w:numId w:val="33"/>
        </w:numPr>
        <w:rPr>
          <w:rFonts w:cs="Times New Roman"/>
        </w:rPr>
      </w:pPr>
      <w:r w:rsidRPr="00654E3B">
        <w:rPr>
          <w:rFonts w:cs="Times New Roman"/>
        </w:rPr>
        <w:t>Potrebno je sektor turizma potaknuti na bržu primjenu politika niskougljičnog razvoja.</w:t>
      </w:r>
    </w:p>
    <w:p w:rsidR="007D4A93" w:rsidRPr="00654E3B" w:rsidRDefault="00EF0BEB" w:rsidP="000C6795">
      <w:pPr>
        <w:pStyle w:val="ListParagraph"/>
        <w:numPr>
          <w:ilvl w:val="0"/>
          <w:numId w:val="33"/>
        </w:numPr>
        <w:rPr>
          <w:rFonts w:cs="Times New Roman"/>
          <w:lang w:eastAsia="hr-HR"/>
        </w:rPr>
      </w:pPr>
      <w:r w:rsidRPr="00654E3B">
        <w:rPr>
          <w:rFonts w:cs="Times New Roman"/>
          <w:lang w:eastAsia="hr-HR"/>
        </w:rPr>
        <w:t>Postojeći fond zgrada dubinski obnoviti, a nove zgrade graditi u standardu zgrada gotovo nulte energije (nZEB).</w:t>
      </w:r>
    </w:p>
    <w:p w:rsidR="007D4A93" w:rsidRPr="00654E3B" w:rsidRDefault="00EF0BEB" w:rsidP="000C6795">
      <w:pPr>
        <w:pStyle w:val="ListParagraph"/>
        <w:numPr>
          <w:ilvl w:val="0"/>
          <w:numId w:val="33"/>
        </w:numPr>
        <w:rPr>
          <w:rFonts w:cs="Times New Roman"/>
          <w:lang w:eastAsia="hr-HR"/>
        </w:rPr>
      </w:pPr>
      <w:r w:rsidRPr="00654E3B">
        <w:rPr>
          <w:rFonts w:cs="Times New Roman"/>
          <w:lang w:eastAsia="hr-HR"/>
        </w:rPr>
        <w:t>Očekuje se da će potrebe za energijom za hlađenje rasti</w:t>
      </w:r>
      <w:r w:rsidR="00966DD3" w:rsidRPr="00654E3B">
        <w:rPr>
          <w:rFonts w:cs="Times New Roman"/>
          <w:lang w:eastAsia="hr-HR"/>
        </w:rPr>
        <w:t>,</w:t>
      </w:r>
      <w:r w:rsidRPr="00654E3B">
        <w:rPr>
          <w:rFonts w:cs="Times New Roman"/>
          <w:lang w:eastAsia="hr-HR"/>
        </w:rPr>
        <w:t xml:space="preserve"> te se preporučuje da se u skladu s Europskim trendovima</w:t>
      </w:r>
      <w:r w:rsidR="00966DD3" w:rsidRPr="00654E3B">
        <w:rPr>
          <w:rFonts w:cs="Times New Roman"/>
          <w:lang w:eastAsia="hr-HR"/>
        </w:rPr>
        <w:t>,</w:t>
      </w:r>
      <w:r w:rsidRPr="00654E3B">
        <w:rPr>
          <w:rFonts w:cs="Times New Roman"/>
          <w:lang w:eastAsia="hr-HR"/>
        </w:rPr>
        <w:t xml:space="preserve"> razmotre mogućnosti za poticanje sustava akumulacije rashladne energije u zgradarstvu, sustava za centralno hlađenje u gradovima koji imaju mogućnosti</w:t>
      </w:r>
      <w:r w:rsidR="00966DD3" w:rsidRPr="00654E3B">
        <w:rPr>
          <w:rFonts w:cs="Times New Roman"/>
          <w:lang w:eastAsia="hr-HR"/>
        </w:rPr>
        <w:t>,</w:t>
      </w:r>
      <w:r w:rsidRPr="00654E3B">
        <w:rPr>
          <w:rFonts w:cs="Times New Roman"/>
          <w:lang w:eastAsia="hr-HR"/>
        </w:rPr>
        <w:t xml:space="preserve"> čime bi se optimizirao rad i iskorištavanje topline u ljetnim mjesecima kod kogeneracijskih postrojenja, sustava za hlađenje u zgradarstvu te ostalih inovativnih mogućnosti.</w:t>
      </w:r>
    </w:p>
    <w:p w:rsidR="007D4A93" w:rsidRPr="00654E3B" w:rsidRDefault="0075068E" w:rsidP="0075068E">
      <w:pPr>
        <w:pStyle w:val="ListParagraph"/>
        <w:numPr>
          <w:ilvl w:val="0"/>
          <w:numId w:val="33"/>
        </w:numPr>
        <w:rPr>
          <w:rFonts w:cs="Times New Roman"/>
          <w:lang w:eastAsia="hr-HR"/>
        </w:rPr>
      </w:pPr>
      <w:r w:rsidRPr="00654E3B">
        <w:rPr>
          <w:rFonts w:cs="Times New Roman"/>
          <w:lang w:eastAsia="hr-HR"/>
        </w:rPr>
        <w:t>U obnovi zgrada, u svim područjima RH koje su zadesili razorni potresi, preporuča se provoditi sveobuhvatna obnova</w:t>
      </w:r>
      <w:r w:rsidR="00EF0BEB" w:rsidRPr="00654E3B">
        <w:rPr>
          <w:rFonts w:cs="Times New Roman"/>
          <w:lang w:eastAsia="hr-HR"/>
        </w:rPr>
        <w:t>.</w:t>
      </w:r>
    </w:p>
    <w:p w:rsidR="007D4A93" w:rsidRPr="00654E3B" w:rsidRDefault="00EF0BEB">
      <w:pPr>
        <w:rPr>
          <w:rFonts w:cs="Times New Roman"/>
          <w:u w:val="single"/>
        </w:rPr>
      </w:pPr>
      <w:r w:rsidRPr="00654E3B">
        <w:rPr>
          <w:rFonts w:cs="Times New Roman"/>
          <w:u w:val="single"/>
        </w:rPr>
        <w:t>Do 2050. godine</w:t>
      </w:r>
    </w:p>
    <w:p w:rsidR="007D4A93" w:rsidRPr="00654E3B" w:rsidRDefault="0075068E" w:rsidP="0075068E">
      <w:pPr>
        <w:pStyle w:val="ListParagraph"/>
        <w:numPr>
          <w:ilvl w:val="0"/>
          <w:numId w:val="48"/>
        </w:numPr>
        <w:spacing w:line="240" w:lineRule="auto"/>
        <w:rPr>
          <w:rFonts w:eastAsia="Times New Roman" w:cs="Times New Roman"/>
          <w:lang w:eastAsia="hr-HR"/>
        </w:rPr>
      </w:pPr>
      <w:r w:rsidRPr="00654E3B">
        <w:rPr>
          <w:rFonts w:eastAsia="Times New Roman" w:cs="Times New Roman"/>
          <w:lang w:eastAsia="hr-HR"/>
        </w:rPr>
        <w:t xml:space="preserve">Smanjenje emisija u ovim sektorima ovisit će o nastavku provedbe mjera, a dinamika obnove zgrada nakon 2030. godine </w:t>
      </w:r>
      <w:r w:rsidR="00755607" w:rsidRPr="00654E3B">
        <w:rPr>
          <w:rFonts w:eastAsia="Times New Roman" w:cs="Times New Roman"/>
          <w:lang w:eastAsia="hr-HR"/>
        </w:rPr>
        <w:t>sukladno</w:t>
      </w:r>
      <w:r w:rsidRPr="00654E3B">
        <w:rPr>
          <w:rFonts w:eastAsia="Times New Roman" w:cs="Times New Roman"/>
          <w:lang w:eastAsia="hr-HR"/>
        </w:rPr>
        <w:t xml:space="preserve"> Dugoročno</w:t>
      </w:r>
      <w:r w:rsidR="00755607" w:rsidRPr="00654E3B">
        <w:rPr>
          <w:rFonts w:eastAsia="Times New Roman" w:cs="Times New Roman"/>
          <w:lang w:eastAsia="hr-HR"/>
        </w:rPr>
        <w:t>j</w:t>
      </w:r>
      <w:r w:rsidRPr="00654E3B">
        <w:rPr>
          <w:rFonts w:eastAsia="Times New Roman" w:cs="Times New Roman"/>
          <w:lang w:eastAsia="hr-HR"/>
        </w:rPr>
        <w:t xml:space="preserve"> strategij</w:t>
      </w:r>
      <w:r w:rsidR="00755607" w:rsidRPr="00654E3B">
        <w:rPr>
          <w:rFonts w:eastAsia="Times New Roman" w:cs="Times New Roman"/>
          <w:lang w:eastAsia="hr-HR"/>
        </w:rPr>
        <w:t>i</w:t>
      </w:r>
      <w:r w:rsidRPr="00654E3B">
        <w:rPr>
          <w:rFonts w:eastAsia="Times New Roman" w:cs="Times New Roman"/>
          <w:lang w:eastAsia="hr-HR"/>
        </w:rPr>
        <w:t xml:space="preserve"> obnove nacionalnog fonda zgrada do 2050. godine te će stopa </w:t>
      </w:r>
      <w:r w:rsidR="00966DD3" w:rsidRPr="00654E3B">
        <w:rPr>
          <w:rFonts w:eastAsia="Times New Roman" w:cs="Times New Roman"/>
          <w:lang w:eastAsia="hr-HR"/>
        </w:rPr>
        <w:t xml:space="preserve">obnove </w:t>
      </w:r>
      <w:r w:rsidRPr="00654E3B">
        <w:rPr>
          <w:rFonts w:eastAsia="Times New Roman" w:cs="Times New Roman"/>
          <w:lang w:eastAsia="hr-HR"/>
        </w:rPr>
        <w:t>od 3</w:t>
      </w:r>
      <w:r w:rsidR="00060992" w:rsidRPr="00654E3B">
        <w:rPr>
          <w:rFonts w:eastAsia="Times New Roman" w:cs="Times New Roman"/>
          <w:lang w:eastAsia="hr-HR"/>
        </w:rPr>
        <w:t xml:space="preserve"> %</w:t>
      </w:r>
      <w:r w:rsidRPr="00654E3B">
        <w:rPr>
          <w:rFonts w:eastAsia="Times New Roman" w:cs="Times New Roman"/>
          <w:lang w:eastAsia="hr-HR"/>
        </w:rPr>
        <w:t xml:space="preserve"> u 2030. godini dalje rasti do 4</w:t>
      </w:r>
      <w:r w:rsidR="00060992" w:rsidRPr="00654E3B">
        <w:rPr>
          <w:rFonts w:eastAsia="Times New Roman" w:cs="Times New Roman"/>
          <w:lang w:eastAsia="hr-HR"/>
        </w:rPr>
        <w:t xml:space="preserve"> %</w:t>
      </w:r>
      <w:r w:rsidRPr="00654E3B">
        <w:rPr>
          <w:rFonts w:eastAsia="Times New Roman" w:cs="Times New Roman"/>
          <w:lang w:eastAsia="hr-HR"/>
        </w:rPr>
        <w:t xml:space="preserve"> u 2050. godini. U ovom razdoblju sva će nova gradnja biti standarda zgrada gotovo nulte energije, koja uključuje i primjenu obnovljivih izvora energije</w:t>
      </w:r>
      <w:r w:rsidR="00EF0BEB" w:rsidRPr="00654E3B">
        <w:rPr>
          <w:rFonts w:eastAsia="Times New Roman" w:cs="Times New Roman"/>
          <w:lang w:eastAsia="hr-HR"/>
        </w:rPr>
        <w:t>.</w:t>
      </w:r>
    </w:p>
    <w:p w:rsidR="007D4A93" w:rsidRPr="00654E3B" w:rsidRDefault="00EF0BEB" w:rsidP="000C6795">
      <w:pPr>
        <w:pStyle w:val="ListParagraph"/>
        <w:numPr>
          <w:ilvl w:val="0"/>
          <w:numId w:val="48"/>
        </w:numPr>
        <w:spacing w:line="240" w:lineRule="auto"/>
        <w:rPr>
          <w:rFonts w:eastAsia="Times New Roman" w:cs="Times New Roman"/>
          <w:lang w:eastAsia="hr-HR"/>
        </w:rPr>
      </w:pPr>
      <w:r w:rsidRPr="00654E3B">
        <w:rPr>
          <w:rFonts w:eastAsia="Times New Roman" w:cs="Times New Roman"/>
          <w:lang w:eastAsia="hr-HR"/>
        </w:rPr>
        <w:t>Po pitanju korištenja OIE, predviđen je nastavak porasta korištenja sunčevih toplinskih sustava za pripremu tople vode, povećanje zadovoljavanja potreba za grijanjem pomoću dizalica topline te daljnji razvoj CTS-a koji koriste OIE</w:t>
      </w:r>
      <w:r w:rsidR="00966DD3" w:rsidRPr="00654E3B">
        <w:rPr>
          <w:rFonts w:eastAsia="Times New Roman" w:cs="Times New Roman"/>
          <w:lang w:eastAsia="hr-HR"/>
        </w:rPr>
        <w:t>,</w:t>
      </w:r>
      <w:r w:rsidRPr="00654E3B">
        <w:rPr>
          <w:rFonts w:eastAsia="Times New Roman" w:cs="Times New Roman"/>
          <w:lang w:eastAsia="hr-HR"/>
        </w:rPr>
        <w:t xml:space="preserve"> uz smanjenje korištenja tradicionalnog ogrjevnog drva.</w:t>
      </w:r>
    </w:p>
    <w:p w:rsidR="007D4A93" w:rsidRPr="00654E3B" w:rsidRDefault="00EF0BEB" w:rsidP="000C6795">
      <w:pPr>
        <w:pStyle w:val="ListParagraph"/>
        <w:numPr>
          <w:ilvl w:val="0"/>
          <w:numId w:val="48"/>
        </w:numPr>
        <w:spacing w:line="240" w:lineRule="auto"/>
        <w:rPr>
          <w:rFonts w:eastAsia="Times New Roman" w:cs="Times New Roman"/>
          <w:lang w:eastAsia="hr-HR"/>
        </w:rPr>
      </w:pPr>
      <w:r w:rsidRPr="00654E3B">
        <w:rPr>
          <w:rFonts w:eastAsia="Times New Roman" w:cs="Times New Roman"/>
          <w:lang w:eastAsia="hr-HR"/>
        </w:rPr>
        <w:t>Konačna isplativost i primjena rješenja ovisiti će o tehnološkom i komercijalnom razvoju tehnologija do 2050. godine.</w:t>
      </w:r>
    </w:p>
    <w:p w:rsidR="007D4A93" w:rsidRPr="00654E3B" w:rsidRDefault="00EF0BEB" w:rsidP="000C6795">
      <w:pPr>
        <w:pStyle w:val="ListParagraph"/>
        <w:numPr>
          <w:ilvl w:val="0"/>
          <w:numId w:val="48"/>
        </w:numPr>
        <w:spacing w:line="240" w:lineRule="auto"/>
        <w:rPr>
          <w:rFonts w:eastAsia="Times New Roman" w:cs="Times New Roman"/>
          <w:lang w:eastAsia="hr-HR"/>
        </w:rPr>
      </w:pPr>
      <w:r w:rsidRPr="00654E3B">
        <w:rPr>
          <w:rFonts w:eastAsia="Times New Roman" w:cs="Times New Roman"/>
          <w:lang w:eastAsia="hr-HR"/>
        </w:rPr>
        <w:t>Osigurati smanjenje emisije stakleničkih plinova u zgradama za 80</w:t>
      </w:r>
      <w:r w:rsidR="00060992" w:rsidRPr="00654E3B">
        <w:rPr>
          <w:rFonts w:eastAsia="Times New Roman" w:cs="Times New Roman"/>
          <w:lang w:eastAsia="hr-HR"/>
        </w:rPr>
        <w:t xml:space="preserve"> %</w:t>
      </w:r>
      <w:r w:rsidRPr="00654E3B">
        <w:rPr>
          <w:rFonts w:eastAsia="Times New Roman" w:cs="Times New Roman"/>
          <w:lang w:eastAsia="hr-HR"/>
        </w:rPr>
        <w:t xml:space="preserve"> te transformirati fond zgrada </w:t>
      </w:r>
      <w:r w:rsidR="006768D0" w:rsidRPr="00654E3B">
        <w:rPr>
          <w:rFonts w:eastAsia="Times New Roman" w:cs="Times New Roman"/>
          <w:lang w:eastAsia="hr-HR"/>
        </w:rPr>
        <w:t xml:space="preserve">u zgrade </w:t>
      </w:r>
      <w:r w:rsidRPr="00654E3B">
        <w:rPr>
          <w:rFonts w:eastAsia="Times New Roman" w:cs="Times New Roman"/>
          <w:lang w:eastAsia="hr-HR"/>
        </w:rPr>
        <w:t xml:space="preserve">gotovo </w:t>
      </w:r>
      <w:r w:rsidR="00B97A5B" w:rsidRPr="00654E3B">
        <w:rPr>
          <w:rFonts w:eastAsia="Times New Roman" w:cs="Times New Roman"/>
          <w:lang w:eastAsia="hr-HR"/>
        </w:rPr>
        <w:t xml:space="preserve">nulte energije </w:t>
      </w:r>
      <w:r w:rsidRPr="00654E3B">
        <w:rPr>
          <w:rFonts w:eastAsia="Times New Roman" w:cs="Times New Roman"/>
          <w:lang w:eastAsia="hr-HR"/>
        </w:rPr>
        <w:t>ili s visokom razinom energetske učinkovitosti.</w:t>
      </w:r>
    </w:p>
    <w:p w:rsidR="007D4A93" w:rsidRPr="00654E3B" w:rsidRDefault="00EF0BEB">
      <w:pPr>
        <w:pStyle w:val="Heading2"/>
        <w:rPr>
          <w:rFonts w:ascii="Times New Roman" w:hAnsi="Times New Roman" w:cs="Times New Roman"/>
        </w:rPr>
      </w:pPr>
      <w:bookmarkStart w:id="249" w:name="_Toc20841305"/>
      <w:bookmarkStart w:id="250" w:name="_Toc20841411"/>
      <w:bookmarkStart w:id="251" w:name="_Toc69810180"/>
      <w:r w:rsidRPr="00654E3B">
        <w:rPr>
          <w:rFonts w:ascii="Times New Roman" w:hAnsi="Times New Roman" w:cs="Times New Roman"/>
        </w:rPr>
        <w:t>6.5.</w:t>
      </w:r>
      <w:r w:rsidRPr="00654E3B">
        <w:rPr>
          <w:rFonts w:ascii="Times New Roman" w:hAnsi="Times New Roman" w:cs="Times New Roman"/>
        </w:rPr>
        <w:tab/>
        <w:t>INDUSTRIJA</w:t>
      </w:r>
      <w:bookmarkEnd w:id="249"/>
      <w:bookmarkEnd w:id="250"/>
      <w:bookmarkEnd w:id="251"/>
    </w:p>
    <w:p w:rsidR="007D4A93" w:rsidRPr="00654E3B" w:rsidRDefault="00EF0BEB" w:rsidP="009F6651">
      <w:pPr>
        <w:pStyle w:val="Heading3"/>
      </w:pPr>
      <w:bookmarkStart w:id="252" w:name="_Toc69810181"/>
      <w:r w:rsidRPr="00654E3B">
        <w:t>6.5.1.</w:t>
      </w:r>
      <w:r w:rsidRPr="00654E3B">
        <w:tab/>
        <w:t>Emisije stakleničkih plinova</w:t>
      </w:r>
      <w:bookmarkEnd w:id="252"/>
    </w:p>
    <w:p w:rsidR="007D4A93" w:rsidRPr="00654E3B" w:rsidRDefault="007D4A93">
      <w:pPr>
        <w:rPr>
          <w:rFonts w:cs="Times New Roman"/>
        </w:rPr>
      </w:pPr>
    </w:p>
    <w:p w:rsidR="007D4A93" w:rsidRPr="00654E3B" w:rsidRDefault="00EF0BEB">
      <w:pPr>
        <w:spacing w:line="240" w:lineRule="auto"/>
        <w:rPr>
          <w:rFonts w:cs="Times New Roman"/>
        </w:rPr>
      </w:pPr>
      <w:bookmarkStart w:id="253" w:name="_Hlk36802407"/>
      <w:r w:rsidRPr="00654E3B">
        <w:rPr>
          <w:rFonts w:cs="Times New Roman"/>
        </w:rPr>
        <w:t>Emisija stakleničkih plinova prerađivačke industrije čini oko 21,1</w:t>
      </w:r>
      <w:r w:rsidR="00060992" w:rsidRPr="00654E3B">
        <w:rPr>
          <w:rFonts w:cs="Times New Roman"/>
        </w:rPr>
        <w:t xml:space="preserve"> %</w:t>
      </w:r>
      <w:r w:rsidRPr="00654E3B">
        <w:rPr>
          <w:rFonts w:cs="Times New Roman"/>
        </w:rPr>
        <w:t xml:space="preserve"> ukupnih emisija Republike Hrvatske (2018. godina), od čega se 48,3</w:t>
      </w:r>
      <w:r w:rsidR="00060992" w:rsidRPr="00654E3B">
        <w:rPr>
          <w:rFonts w:cs="Times New Roman"/>
        </w:rPr>
        <w:t xml:space="preserve"> %</w:t>
      </w:r>
      <w:r w:rsidRPr="00654E3B">
        <w:rPr>
          <w:rFonts w:cs="Times New Roman"/>
        </w:rPr>
        <w:t xml:space="preserve"> odnosi na emisije uslijed</w:t>
      </w:r>
      <w:r w:rsidR="00966DD3" w:rsidRPr="00654E3B">
        <w:rPr>
          <w:rFonts w:cs="Times New Roman"/>
        </w:rPr>
        <w:t xml:space="preserve"> </w:t>
      </w:r>
      <w:r w:rsidRPr="00654E3B">
        <w:rPr>
          <w:rFonts w:cs="Times New Roman"/>
        </w:rPr>
        <w:t>izgaranja goriva, a 51,7</w:t>
      </w:r>
      <w:r w:rsidR="00060992" w:rsidRPr="00654E3B">
        <w:rPr>
          <w:rFonts w:cs="Times New Roman"/>
        </w:rPr>
        <w:t xml:space="preserve"> %</w:t>
      </w:r>
      <w:r w:rsidRPr="00654E3B">
        <w:rPr>
          <w:rFonts w:cs="Times New Roman"/>
        </w:rPr>
        <w:t xml:space="preserve"> na procesne emisije. U sklopu ovog sektora nisu uračunate emisije do kojih dolazi uslijed proizvodnje električne energije i topline koja je predana prerađivačkoj industriji, jer se one obračunavaju u drugim </w:t>
      </w:r>
      <w:r w:rsidRPr="00654E3B">
        <w:rPr>
          <w:rFonts w:cs="Times New Roman"/>
        </w:rPr>
        <w:lastRenderedPageBreak/>
        <w:t>sektorima. Najveći izvori emisije stakleničkih plinova, zajedno s velikim energetskim izvorima, uključeni su u ETS sustav. To su: proizvodnja cementa, proizvodnja vapna i ostalih mineralnih proizvoda, proizvodnja amonijaka i dušične kiseline te proizvodnja željeza i čelika.</w:t>
      </w:r>
    </w:p>
    <w:p w:rsidR="007D4A93" w:rsidRPr="00654E3B" w:rsidRDefault="00EF0BEB">
      <w:pPr>
        <w:spacing w:line="240" w:lineRule="auto"/>
        <w:rPr>
          <w:rFonts w:cs="Times New Roman"/>
        </w:rPr>
      </w:pPr>
      <w:bookmarkStart w:id="254" w:name="_Hlk36802421"/>
      <w:bookmarkEnd w:id="253"/>
      <w:r w:rsidRPr="00654E3B">
        <w:rPr>
          <w:rFonts w:cs="Times New Roman"/>
        </w:rPr>
        <w:t>Emisija iz uporabe zamjenskih tvari za tvari koje oštećuju ozonski sloj (hidrofluorougljikovodici, HFC)</w:t>
      </w:r>
      <w:r w:rsidR="008E6808" w:rsidRPr="00654E3B">
        <w:rPr>
          <w:rFonts w:cs="Times New Roman"/>
        </w:rPr>
        <w:t>,</w:t>
      </w:r>
      <w:r w:rsidRPr="00654E3B">
        <w:rPr>
          <w:rFonts w:cs="Times New Roman"/>
        </w:rPr>
        <w:t xml:space="preserve"> je u 2018. godini bila na razini 2,1</w:t>
      </w:r>
      <w:r w:rsidR="00060992" w:rsidRPr="00654E3B">
        <w:rPr>
          <w:rFonts w:cs="Times New Roman"/>
        </w:rPr>
        <w:t xml:space="preserve"> %</w:t>
      </w:r>
      <w:r w:rsidRPr="00654E3B">
        <w:rPr>
          <w:rFonts w:cs="Times New Roman"/>
        </w:rPr>
        <w:t xml:space="preserve"> ukupne emisije stakleničkih plinova Republike Hrvatske. Udio emisije iz potrošnje sumporovog heksafluorida (SF</w:t>
      </w:r>
      <w:r w:rsidRPr="00654E3B">
        <w:rPr>
          <w:rFonts w:cs="Times New Roman"/>
          <w:vertAlign w:val="subscript"/>
        </w:rPr>
        <w:t>6</w:t>
      </w:r>
      <w:r w:rsidRPr="00654E3B">
        <w:rPr>
          <w:rFonts w:cs="Times New Roman"/>
        </w:rPr>
        <w:t>) je 0,3</w:t>
      </w:r>
      <w:r w:rsidR="00060992" w:rsidRPr="00654E3B">
        <w:rPr>
          <w:rFonts w:cs="Times New Roman"/>
        </w:rPr>
        <w:t xml:space="preserve"> %</w:t>
      </w:r>
      <w:r w:rsidRPr="00654E3B">
        <w:rPr>
          <w:rFonts w:cs="Times New Roman"/>
        </w:rPr>
        <w:t xml:space="preserve"> ukupne emisije stakleničkih plinova Republike Hrvatske.</w:t>
      </w:r>
      <w:bookmarkEnd w:id="254"/>
    </w:p>
    <w:p w:rsidR="00AB40C9" w:rsidRPr="00654E3B" w:rsidRDefault="00EF0BEB">
      <w:pPr>
        <w:spacing w:line="240" w:lineRule="auto"/>
        <w:rPr>
          <w:rFonts w:cs="Times New Roman"/>
        </w:rPr>
      </w:pPr>
      <w:r w:rsidRPr="00654E3B">
        <w:rPr>
          <w:rFonts w:cs="Times New Roman"/>
        </w:rPr>
        <w:t>U sektoru prerađivačke industrije, u scenarijima NU1 i NU2, u odnosu na 1990. godinu, postiže se smanjenje emisije za 54,1 do 57,5</w:t>
      </w:r>
      <w:r w:rsidR="00060992" w:rsidRPr="00654E3B">
        <w:rPr>
          <w:rFonts w:cs="Times New Roman"/>
        </w:rPr>
        <w:t xml:space="preserve"> %</w:t>
      </w:r>
      <w:r w:rsidRPr="00654E3B">
        <w:rPr>
          <w:rFonts w:cs="Times New Roman"/>
        </w:rPr>
        <w:t xml:space="preserve"> u 2030. godini te za 64,4 do 83,0</w:t>
      </w:r>
      <w:r w:rsidR="00060992" w:rsidRPr="00654E3B">
        <w:rPr>
          <w:rFonts w:cs="Times New Roman"/>
        </w:rPr>
        <w:t xml:space="preserve"> %</w:t>
      </w:r>
      <w:r w:rsidRPr="00654E3B">
        <w:rPr>
          <w:rFonts w:cs="Times New Roman"/>
        </w:rPr>
        <w:t xml:space="preserve"> u 2050. godini.</w:t>
      </w:r>
    </w:p>
    <w:p w:rsidR="007D4A93" w:rsidRPr="00654E3B" w:rsidRDefault="00EF0BEB" w:rsidP="009F6651">
      <w:pPr>
        <w:pStyle w:val="Heading3"/>
      </w:pPr>
      <w:bookmarkStart w:id="255" w:name="_Toc69810182"/>
      <w:r w:rsidRPr="00654E3B">
        <w:t>6.5.2.</w:t>
      </w:r>
      <w:r w:rsidRPr="00654E3B">
        <w:tab/>
        <w:t>Politike i mjere za niskougljični razvoj</w:t>
      </w:r>
      <w:bookmarkEnd w:id="255"/>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 xml:space="preserve">Utjecaj ETS-a </w:t>
      </w:r>
    </w:p>
    <w:p w:rsidR="007D4A93" w:rsidRPr="00654E3B" w:rsidRDefault="00EF0BEB">
      <w:pPr>
        <w:rPr>
          <w:rFonts w:cs="Times New Roman"/>
        </w:rPr>
      </w:pPr>
      <w:r w:rsidRPr="00654E3B">
        <w:rPr>
          <w:rFonts w:cs="Times New Roman"/>
        </w:rPr>
        <w:t>Budući da je većina industrijskih postrojenja uključena u ETS, ne postoji velika mogućnost izravnog utjecaja države na smanjenje emisije ETS-a. U razdoblju do 2030. godine sudionici ETS-a će i dalje dio jedinica dobivati besplatno. Okvir klimatsko-energetske politike do 2030. godine</w:t>
      </w:r>
      <w:r w:rsidR="008E6808" w:rsidRPr="00654E3B">
        <w:rPr>
          <w:rFonts w:cs="Times New Roman"/>
        </w:rPr>
        <w:t>,</w:t>
      </w:r>
      <w:r w:rsidRPr="00654E3B">
        <w:rPr>
          <w:rFonts w:cs="Times New Roman"/>
        </w:rPr>
        <w:t xml:space="preserve"> produžuje besplatnu dodjelu i dalje na temelju usporedbe s referentnim vrijednostima za proizvode, toplinu, daljinsko grijanje i gorivo.</w:t>
      </w:r>
    </w:p>
    <w:p w:rsidR="007D4A93" w:rsidRPr="00654E3B" w:rsidRDefault="00EF0BEB">
      <w:pPr>
        <w:rPr>
          <w:rFonts w:cs="Times New Roman"/>
        </w:rPr>
      </w:pPr>
      <w:r w:rsidRPr="00654E3B">
        <w:rPr>
          <w:rFonts w:cs="Times New Roman"/>
        </w:rPr>
        <w:t>Za industriju će biti ključna cijena emisijskih jedinica na tržištu ETS-a, odnosno signali vezano za dugoročnu predvidivost cijene. Postavlja se pitanje kada i koliko će industrija reagirati na ETS politiku, o čemu će ovisiti emisija stakleničkih plinova. Moguće djelovanje industrije na povećanje cijena</w:t>
      </w:r>
      <w:r w:rsidR="008E6808" w:rsidRPr="00654E3B">
        <w:rPr>
          <w:rFonts w:cs="Times New Roman"/>
        </w:rPr>
        <w:t>,</w:t>
      </w:r>
      <w:r w:rsidRPr="00654E3B">
        <w:rPr>
          <w:rFonts w:cs="Times New Roman"/>
        </w:rPr>
        <w:t xml:space="preserve"> ovisit će o udjelu cijene </w:t>
      </w:r>
      <w:r w:rsidR="008E6808" w:rsidRPr="00654E3B">
        <w:rPr>
          <w:rFonts w:cs="Times New Roman"/>
        </w:rPr>
        <w:t xml:space="preserve">emisijskih jedinica </w:t>
      </w:r>
      <w:r w:rsidRPr="00654E3B">
        <w:rPr>
          <w:rFonts w:cs="Times New Roman"/>
        </w:rPr>
        <w:t xml:space="preserve">u varijabilnim troškovima, mogućnostima prilagodbe i u kolikoj mjeri se cijena </w:t>
      </w:r>
      <w:r w:rsidR="008E6808" w:rsidRPr="00654E3B">
        <w:rPr>
          <w:rFonts w:cs="Times New Roman"/>
        </w:rPr>
        <w:t xml:space="preserve">emisijskih jedinica </w:t>
      </w:r>
      <w:r w:rsidRPr="00654E3B">
        <w:rPr>
          <w:rFonts w:cs="Times New Roman"/>
        </w:rPr>
        <w:t xml:space="preserve">može prenijeti na kupce. Dodatno, Republika Hrvatska ima rizik od „istjecanja ugljika“ i konkurencije industrije iz susjednih država koje nisu u EU i pod snažnim obvezama smanjenja emisija stakleničkih plinova. U investiranju, signal cijene </w:t>
      </w:r>
      <w:r w:rsidR="008E6808" w:rsidRPr="00654E3B">
        <w:rPr>
          <w:rFonts w:cs="Times New Roman"/>
        </w:rPr>
        <w:t>emisijskih jedinica i</w:t>
      </w:r>
      <w:r w:rsidRPr="00654E3B">
        <w:rPr>
          <w:rFonts w:cs="Times New Roman"/>
        </w:rPr>
        <w:t>mat</w:t>
      </w:r>
      <w:r w:rsidR="008E6808" w:rsidRPr="00654E3B">
        <w:rPr>
          <w:rFonts w:cs="Times New Roman"/>
        </w:rPr>
        <w:t>i</w:t>
      </w:r>
      <w:r w:rsidRPr="00654E3B">
        <w:rPr>
          <w:rFonts w:cs="Times New Roman"/>
        </w:rPr>
        <w:t xml:space="preserve"> će značajnu, no ne i presudnu ulogu. Na donošenje odluka također će utjecati opći kontekst promjena u cjelokupnom sektoru (energetska učinkovitost, tržište rada, standardi, itd.).</w:t>
      </w:r>
    </w:p>
    <w:p w:rsidR="007D4A93" w:rsidRPr="00654E3B" w:rsidRDefault="00EF0BEB">
      <w:pPr>
        <w:rPr>
          <w:rFonts w:cs="Times New Roman"/>
        </w:rPr>
      </w:pPr>
      <w:r w:rsidRPr="00654E3B">
        <w:rPr>
          <w:rFonts w:cs="Times New Roman"/>
        </w:rPr>
        <w:t>Potpora industriji iz javnih sredstava je moguća u okviru pravila državnih potpora</w:t>
      </w:r>
      <w:r w:rsidR="0066738E" w:rsidRPr="00654E3B">
        <w:rPr>
          <w:rFonts w:cs="Times New Roman"/>
        </w:rPr>
        <w:t>.</w:t>
      </w:r>
      <w:r w:rsidRPr="00654E3B">
        <w:rPr>
          <w:rFonts w:cs="Times New Roman"/>
        </w:rPr>
        <w:t xml:space="preserve"> Potrebno je industriji osigurati druge linije </w:t>
      </w:r>
      <w:r w:rsidR="00332B66" w:rsidRPr="00654E3B">
        <w:rPr>
          <w:rFonts w:cs="Times New Roman"/>
        </w:rPr>
        <w:t xml:space="preserve">financiranja </w:t>
      </w:r>
      <w:r w:rsidRPr="00654E3B">
        <w:rPr>
          <w:rFonts w:cs="Times New Roman"/>
        </w:rPr>
        <w:t xml:space="preserve">putem razvojnih banaka, garancijskih modela i međunarodnih razvojnih kredita. Smanjenje emisije </w:t>
      </w:r>
      <w:r w:rsidR="00332B66" w:rsidRPr="00654E3B">
        <w:rPr>
          <w:rFonts w:cs="Times New Roman"/>
        </w:rPr>
        <w:t xml:space="preserve">stakleničkih plinova </w:t>
      </w:r>
      <w:r w:rsidRPr="00654E3B">
        <w:rPr>
          <w:rFonts w:cs="Times New Roman"/>
        </w:rPr>
        <w:t xml:space="preserve">samo je dio cjelokupne modernizacije industrijskih procesa i često nedjeljivo od ukupne investicije. </w:t>
      </w:r>
    </w:p>
    <w:p w:rsidR="007D4A93" w:rsidRPr="00654E3B" w:rsidRDefault="00EF0BEB">
      <w:pPr>
        <w:rPr>
          <w:rFonts w:cs="Times New Roman"/>
          <w:u w:val="single"/>
        </w:rPr>
      </w:pPr>
      <w:r w:rsidRPr="00654E3B">
        <w:rPr>
          <w:rFonts w:cs="Times New Roman"/>
          <w:u w:val="single"/>
        </w:rPr>
        <w:t>Mjere</w:t>
      </w:r>
    </w:p>
    <w:p w:rsidR="007D4A93" w:rsidRPr="00654E3B" w:rsidRDefault="00EF0BEB">
      <w:pPr>
        <w:rPr>
          <w:rFonts w:cs="Times New Roman"/>
        </w:rPr>
      </w:pPr>
      <w:r w:rsidRPr="00654E3B">
        <w:rPr>
          <w:rFonts w:cs="Times New Roman"/>
        </w:rPr>
        <w:t>Niskougljični scenariji</w:t>
      </w:r>
      <w:r w:rsidR="006316D3" w:rsidRPr="00654E3B">
        <w:rPr>
          <w:rFonts w:cs="Times New Roman"/>
        </w:rPr>
        <w:t>,</w:t>
      </w:r>
      <w:r w:rsidRPr="00654E3B">
        <w:rPr>
          <w:rFonts w:cs="Times New Roman"/>
        </w:rPr>
        <w:t xml:space="preserve"> uključuju primjenu troškovno-učinkovitih mjera za smanjenje emisija stakleničkih plinova iz potrošnje energije po industrijskim granama i procesnih emisija u proizvodnji cementa te smanjenje emisije fluoriranih stakleničkih plinova. </w:t>
      </w:r>
    </w:p>
    <w:p w:rsidR="007D4A93" w:rsidRPr="00654E3B" w:rsidRDefault="00EF0BEB">
      <w:pPr>
        <w:rPr>
          <w:rFonts w:eastAsia="MS Mincho" w:cs="Times New Roman"/>
          <w:szCs w:val="24"/>
          <w:lang w:eastAsia="ja-JP"/>
        </w:rPr>
      </w:pPr>
      <w:r w:rsidRPr="00654E3B">
        <w:rPr>
          <w:rFonts w:eastAsia="MS Mincho" w:cs="Times New Roman"/>
          <w:szCs w:val="24"/>
          <w:lang w:eastAsia="ja-JP"/>
        </w:rPr>
        <w:t xml:space="preserve">Scenarij NU2 uključuje </w:t>
      </w:r>
      <w:r w:rsidRPr="00654E3B">
        <w:rPr>
          <w:rFonts w:eastAsia="MS Mincho" w:cs="Times New Roman"/>
          <w:b/>
          <w:szCs w:val="24"/>
          <w:lang w:eastAsia="ja-JP"/>
        </w:rPr>
        <w:t>primjenu mjere hvatanja i skladištenja CO</w:t>
      </w:r>
      <w:r w:rsidRPr="00654E3B">
        <w:rPr>
          <w:rFonts w:eastAsia="MS Mincho" w:cs="Times New Roman"/>
          <w:b/>
          <w:szCs w:val="24"/>
          <w:vertAlign w:val="subscript"/>
          <w:lang w:eastAsia="ja-JP"/>
        </w:rPr>
        <w:t>2</w:t>
      </w:r>
      <w:r w:rsidRPr="00654E3B">
        <w:rPr>
          <w:rFonts w:eastAsia="MS Mincho" w:cs="Times New Roman"/>
          <w:szCs w:val="24"/>
          <w:lang w:eastAsia="ja-JP"/>
        </w:rPr>
        <w:t xml:space="preserve"> u postrojenjima za proizvodnju cementa u godinama nakon 2040. godine te intenzivniju primjenu procesnih mjera u proizvodnji cementa.</w:t>
      </w:r>
    </w:p>
    <w:p w:rsidR="007D4A93" w:rsidRPr="00654E3B" w:rsidRDefault="00EF0BEB">
      <w:pPr>
        <w:rPr>
          <w:rFonts w:eastAsia="MS Mincho" w:cs="Times New Roman"/>
          <w:szCs w:val="24"/>
          <w:lang w:eastAsia="ja-JP"/>
        </w:rPr>
      </w:pPr>
      <w:r w:rsidRPr="00654E3B">
        <w:rPr>
          <w:rFonts w:eastAsia="MS Mincho" w:cs="Times New Roman"/>
          <w:szCs w:val="24"/>
          <w:lang w:eastAsia="ja-JP"/>
        </w:rPr>
        <w:t>Industrijska postrojenja imaju na raspolaganju velike površine</w:t>
      </w:r>
      <w:r w:rsidR="0080064F" w:rsidRPr="00654E3B">
        <w:rPr>
          <w:rFonts w:eastAsia="MS Mincho" w:cs="Times New Roman"/>
          <w:szCs w:val="24"/>
          <w:lang w:eastAsia="ja-JP"/>
        </w:rPr>
        <w:t>,</w:t>
      </w:r>
      <w:r w:rsidRPr="00654E3B">
        <w:rPr>
          <w:rFonts w:eastAsia="MS Mincho" w:cs="Times New Roman"/>
          <w:szCs w:val="24"/>
          <w:lang w:eastAsia="ja-JP"/>
        </w:rPr>
        <w:t xml:space="preserve"> što je prilika za izgradnju sunčevih toplinskih sustava i spremnika energije. Industrija može primjenom OIE također participirati u proizvodnji električne i toplinske energije za druge potrošače.</w:t>
      </w:r>
    </w:p>
    <w:p w:rsidR="007D4A93" w:rsidRPr="00654E3B" w:rsidRDefault="00EF0BEB">
      <w:pPr>
        <w:rPr>
          <w:rFonts w:eastAsia="MS Mincho" w:cs="Times New Roman"/>
          <w:szCs w:val="24"/>
          <w:lang w:eastAsia="ja-JP"/>
        </w:rPr>
      </w:pPr>
      <w:r w:rsidRPr="00654E3B">
        <w:rPr>
          <w:rFonts w:eastAsia="MS Mincho" w:cs="Times New Roman"/>
          <w:szCs w:val="24"/>
          <w:lang w:eastAsia="ja-JP"/>
        </w:rPr>
        <w:t xml:space="preserve">U industriji je potrebno promicati koncept kružnog gospodarstva, recikliranje i oporabu otpadnog materijala u vlastitom procesu i od drugih subjekata. </w:t>
      </w:r>
    </w:p>
    <w:p w:rsidR="007D4A93" w:rsidRPr="00654E3B" w:rsidRDefault="00EF0BEB">
      <w:pPr>
        <w:rPr>
          <w:rFonts w:eastAsia="MS Mincho" w:cs="Times New Roman"/>
          <w:szCs w:val="24"/>
          <w:lang w:eastAsia="ja-JP"/>
        </w:rPr>
      </w:pPr>
      <w:r w:rsidRPr="00654E3B">
        <w:rPr>
          <w:rFonts w:eastAsia="MS Mincho" w:cs="Times New Roman"/>
          <w:szCs w:val="24"/>
          <w:lang w:eastAsia="ja-JP"/>
        </w:rPr>
        <w:t>U izradi scenarija za fluorirane stakleničke plinove</w:t>
      </w:r>
      <w:r w:rsidR="0080064F" w:rsidRPr="00654E3B">
        <w:rPr>
          <w:rFonts w:eastAsia="MS Mincho" w:cs="Times New Roman"/>
          <w:szCs w:val="24"/>
          <w:lang w:eastAsia="ja-JP"/>
        </w:rPr>
        <w:t>,</w:t>
      </w:r>
      <w:r w:rsidRPr="00654E3B">
        <w:rPr>
          <w:rFonts w:eastAsia="MS Mincho" w:cs="Times New Roman"/>
          <w:szCs w:val="24"/>
          <w:lang w:eastAsia="ja-JP"/>
        </w:rPr>
        <w:t xml:space="preserve"> uključene su pretpostavke o ograničavanju i smanjenju njihove uporabe, sukladno odredbama Uredbe (EU) br. 517/2014 </w:t>
      </w:r>
      <w:r w:rsidR="001323D0" w:rsidRPr="00654E3B">
        <w:rPr>
          <w:rFonts w:eastAsia="MS Mincho" w:cs="Times New Roman"/>
          <w:szCs w:val="24"/>
          <w:lang w:eastAsia="ja-JP"/>
        </w:rPr>
        <w:t xml:space="preserve">Europskog parlamenta i Vijeća od 16. travnja 2014. o fluoriranim stakleničkim plinovima i stavljanju izvan snage Uredbe (EZ) br. 842/2006 (SL L 150, 20.5.2014.) </w:t>
      </w:r>
      <w:r w:rsidR="00AB3E65" w:rsidRPr="00654E3B">
        <w:rPr>
          <w:rFonts w:eastAsia="MS Mincho" w:cs="Times New Roman"/>
          <w:szCs w:val="24"/>
          <w:lang w:eastAsia="ja-JP"/>
        </w:rPr>
        <w:t>(</w:t>
      </w:r>
      <w:r w:rsidR="00060992" w:rsidRPr="00654E3B">
        <w:rPr>
          <w:rFonts w:eastAsia="MS Mincho" w:cs="Times New Roman"/>
          <w:szCs w:val="24"/>
          <w:lang w:eastAsia="ja-JP"/>
        </w:rPr>
        <w:t>u daljnjem tekstuu daljnjem tekstu</w:t>
      </w:r>
      <w:r w:rsidR="00AB3E65" w:rsidRPr="00654E3B">
        <w:rPr>
          <w:rFonts w:eastAsia="MS Mincho" w:cs="Times New Roman"/>
          <w:szCs w:val="24"/>
          <w:lang w:eastAsia="ja-JP"/>
        </w:rPr>
        <w:t>: Uredba (EU) br. 517/2014)</w:t>
      </w:r>
      <w:r w:rsidR="0080064F" w:rsidRPr="00654E3B">
        <w:rPr>
          <w:rFonts w:eastAsia="MS Mincho" w:cs="Times New Roman"/>
          <w:szCs w:val="24"/>
          <w:lang w:eastAsia="ja-JP"/>
        </w:rPr>
        <w:t>,</w:t>
      </w:r>
      <w:r w:rsidR="00AB3E65" w:rsidRPr="00654E3B">
        <w:rPr>
          <w:rFonts w:eastAsia="MS Mincho" w:cs="Times New Roman"/>
          <w:szCs w:val="24"/>
          <w:lang w:eastAsia="ja-JP"/>
        </w:rPr>
        <w:t xml:space="preserve"> </w:t>
      </w:r>
      <w:r w:rsidRPr="00654E3B">
        <w:rPr>
          <w:rFonts w:eastAsia="MS Mincho" w:cs="Times New Roman"/>
          <w:szCs w:val="24"/>
          <w:lang w:eastAsia="ja-JP"/>
        </w:rPr>
        <w:t>i Direktive 2006/40/EZ</w:t>
      </w:r>
      <w:r w:rsidR="001323D0" w:rsidRPr="00654E3B">
        <w:rPr>
          <w:rFonts w:eastAsia="MS Mincho" w:cs="Times New Roman"/>
          <w:szCs w:val="24"/>
          <w:lang w:eastAsia="ja-JP"/>
        </w:rPr>
        <w:t xml:space="preserve"> Europskog parlamenta i Vijeća od 17. svibnja 2006. o emisijama iz sustava za </w:t>
      </w:r>
      <w:r w:rsidR="001323D0" w:rsidRPr="00654E3B">
        <w:rPr>
          <w:rFonts w:eastAsia="MS Mincho" w:cs="Times New Roman"/>
          <w:szCs w:val="24"/>
          <w:lang w:eastAsia="ja-JP"/>
        </w:rPr>
        <w:lastRenderedPageBreak/>
        <w:t>klimatizaciju u motornim vozilima i o izmjeni Direktive Vijeća 70/156/EEZ (SL L 161, 14.6.2006.)</w:t>
      </w:r>
      <w:r w:rsidR="00AC6410" w:rsidRPr="00654E3B">
        <w:rPr>
          <w:rFonts w:eastAsia="MS Mincho" w:cs="Times New Roman"/>
          <w:szCs w:val="24"/>
          <w:lang w:eastAsia="ja-JP"/>
        </w:rPr>
        <w:t xml:space="preserve"> (</w:t>
      </w:r>
      <w:r w:rsidR="00060992" w:rsidRPr="00654E3B">
        <w:rPr>
          <w:rFonts w:eastAsia="MS Mincho" w:cs="Times New Roman"/>
          <w:szCs w:val="24"/>
          <w:lang w:eastAsia="ja-JP"/>
        </w:rPr>
        <w:t>u daljnjem tekstu</w:t>
      </w:r>
      <w:r w:rsidR="00AC6410" w:rsidRPr="00654E3B">
        <w:rPr>
          <w:rFonts w:eastAsia="MS Mincho" w:cs="Times New Roman"/>
          <w:szCs w:val="24"/>
          <w:lang w:eastAsia="ja-JP"/>
        </w:rPr>
        <w:t>: Direktiva 2006/40/EZ)</w:t>
      </w:r>
      <w:r w:rsidRPr="00654E3B">
        <w:rPr>
          <w:rFonts w:eastAsia="MS Mincho" w:cs="Times New Roman"/>
          <w:szCs w:val="24"/>
          <w:lang w:eastAsia="ja-JP"/>
        </w:rPr>
        <w:t>.</w:t>
      </w:r>
    </w:p>
    <w:p w:rsidR="007D4A93" w:rsidRPr="00654E3B" w:rsidRDefault="00EF0BEB">
      <w:pPr>
        <w:rPr>
          <w:rFonts w:eastAsia="MS Mincho" w:cs="Times New Roman"/>
          <w:szCs w:val="24"/>
          <w:lang w:eastAsia="ja-JP"/>
        </w:rPr>
      </w:pPr>
      <w:r w:rsidRPr="00654E3B">
        <w:rPr>
          <w:rFonts w:eastAsia="MS Mincho" w:cs="Times New Roman"/>
          <w:szCs w:val="24"/>
          <w:lang w:eastAsia="ja-JP"/>
        </w:rPr>
        <w:t>Scenariji NU1 i NU2 uključuju intenzivnije smanjenje fluoriranih stakleničkih plinova dostupnih na tržištu nakon 2030. godine, u odnosu na NUR scenarij, sukladno stručnoj procjeni temeljenoj na nastavku trenda smanjenja fluoriranih stakleničkih plinova. U scenarije NU1 i NU2 uključene su pretpostavke o broju vozila, što je povezano sa smanjenjem emisija fluoriranih stakleničkih plinova iz mobilnih sustava za klimatizaciju.</w:t>
      </w:r>
    </w:p>
    <w:p w:rsidR="007D4A93" w:rsidRPr="00654E3B" w:rsidRDefault="00EF0BEB" w:rsidP="009F6651">
      <w:pPr>
        <w:pStyle w:val="Heading3"/>
      </w:pPr>
      <w:bookmarkStart w:id="256" w:name="_Toc69810183"/>
      <w:r w:rsidRPr="00654E3B">
        <w:t>6.5.3.</w:t>
      </w:r>
      <w:r w:rsidRPr="00654E3B">
        <w:tab/>
        <w:t>Smjernice za niskougljični razvoj</w:t>
      </w:r>
      <w:bookmarkEnd w:id="256"/>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Do 2030. godine</w:t>
      </w:r>
    </w:p>
    <w:p w:rsidR="007D4A93" w:rsidRPr="00654E3B" w:rsidRDefault="00EF0BEB" w:rsidP="000C6795">
      <w:pPr>
        <w:numPr>
          <w:ilvl w:val="0"/>
          <w:numId w:val="47"/>
        </w:numPr>
        <w:spacing w:line="240" w:lineRule="auto"/>
        <w:rPr>
          <w:rFonts w:cs="Times New Roman"/>
        </w:rPr>
      </w:pPr>
      <w:r w:rsidRPr="00654E3B">
        <w:rPr>
          <w:rFonts w:cs="Times New Roman"/>
        </w:rPr>
        <w:t>ETS ostaje glavni instrument politike smanjenja emisija industrijskog sektora. U svim investicijskim odlukama</w:t>
      </w:r>
      <w:r w:rsidR="0022095A" w:rsidRPr="00654E3B">
        <w:rPr>
          <w:rFonts w:cs="Times New Roman"/>
        </w:rPr>
        <w:t>,</w:t>
      </w:r>
      <w:r w:rsidRPr="00654E3B">
        <w:rPr>
          <w:rFonts w:cs="Times New Roman"/>
        </w:rPr>
        <w:t xml:space="preserve"> potrebno je uvažiti činjenicu da će cijene </w:t>
      </w:r>
      <w:r w:rsidR="0022095A" w:rsidRPr="00654E3B">
        <w:rPr>
          <w:rFonts w:cs="Times New Roman"/>
        </w:rPr>
        <w:t xml:space="preserve">emisijskih jedinica </w:t>
      </w:r>
      <w:r w:rsidRPr="00654E3B">
        <w:rPr>
          <w:rFonts w:cs="Times New Roman"/>
        </w:rPr>
        <w:t>u razdoblju od 202</w:t>
      </w:r>
      <w:r w:rsidR="007E0AD0" w:rsidRPr="00654E3B">
        <w:rPr>
          <w:rFonts w:cs="Times New Roman"/>
        </w:rPr>
        <w:t>1</w:t>
      </w:r>
      <w:r w:rsidRPr="00654E3B">
        <w:rPr>
          <w:rFonts w:cs="Times New Roman"/>
        </w:rPr>
        <w:t xml:space="preserve">. godine do 2030. godine vjerojatno biti na razini </w:t>
      </w:r>
      <w:r w:rsidR="0066738E" w:rsidRPr="00654E3B">
        <w:rPr>
          <w:rFonts w:cs="Times New Roman"/>
        </w:rPr>
        <w:t>oko</w:t>
      </w:r>
      <w:r w:rsidRPr="00654E3B">
        <w:rPr>
          <w:rFonts w:cs="Times New Roman"/>
        </w:rPr>
        <w:t xml:space="preserve"> 35 EUR/t</w:t>
      </w:r>
      <w:r w:rsidR="0022095A" w:rsidRPr="00654E3B">
        <w:rPr>
          <w:rFonts w:cs="Times New Roman"/>
        </w:rPr>
        <w:t xml:space="preserve"> </w:t>
      </w:r>
      <w:r w:rsidRPr="00654E3B">
        <w:rPr>
          <w:rFonts w:cs="Times New Roman"/>
        </w:rPr>
        <w:t>CO</w:t>
      </w:r>
      <w:r w:rsidRPr="00654E3B">
        <w:rPr>
          <w:rFonts w:cs="Times New Roman"/>
          <w:vertAlign w:val="subscript"/>
        </w:rPr>
        <w:t>2</w:t>
      </w:r>
      <w:r w:rsidRPr="00654E3B">
        <w:rPr>
          <w:rFonts w:cs="Times New Roman"/>
        </w:rPr>
        <w:t xml:space="preserve">.  </w:t>
      </w:r>
    </w:p>
    <w:p w:rsidR="007D4A93" w:rsidRPr="00654E3B" w:rsidRDefault="00EF0BEB" w:rsidP="000C6795">
      <w:pPr>
        <w:numPr>
          <w:ilvl w:val="0"/>
          <w:numId w:val="47"/>
        </w:numPr>
        <w:spacing w:line="240" w:lineRule="auto"/>
        <w:rPr>
          <w:rFonts w:cs="Times New Roman"/>
        </w:rPr>
      </w:pPr>
      <w:r w:rsidRPr="00654E3B">
        <w:rPr>
          <w:rFonts w:cs="Times New Roman"/>
        </w:rPr>
        <w:t>U ovom razdoblju</w:t>
      </w:r>
      <w:r w:rsidR="0022095A" w:rsidRPr="00654E3B">
        <w:rPr>
          <w:rFonts w:cs="Times New Roman"/>
        </w:rPr>
        <w:t>,</w:t>
      </w:r>
      <w:r w:rsidRPr="00654E3B">
        <w:rPr>
          <w:rFonts w:cs="Times New Roman"/>
        </w:rPr>
        <w:t xml:space="preserve"> industrija koja je u ETS</w:t>
      </w:r>
      <w:r w:rsidR="0022095A" w:rsidRPr="00654E3B">
        <w:rPr>
          <w:rFonts w:cs="Times New Roman"/>
        </w:rPr>
        <w:t>-u,</w:t>
      </w:r>
      <w:r w:rsidRPr="00654E3B">
        <w:rPr>
          <w:rFonts w:cs="Times New Roman"/>
        </w:rPr>
        <w:t xml:space="preserve"> treba poduzeti konkretne korake u približavanju referentnim vrijednostima najboljih raspoloživih tehnika. Navedeno podrazumijeva povećanje energetske učinkovitosti, modernizaciju procesa, prelazak na goriva s manje ugljika, korištenje vodika kao energenta, povećanje korištenja klimatski neutralne električne energije</w:t>
      </w:r>
      <w:r w:rsidR="0022095A" w:rsidRPr="00654E3B">
        <w:rPr>
          <w:rFonts w:cs="Times New Roman"/>
        </w:rPr>
        <w:t>.</w:t>
      </w:r>
    </w:p>
    <w:p w:rsidR="007D4A93" w:rsidRPr="00654E3B" w:rsidRDefault="00EF0BEB" w:rsidP="000C6795">
      <w:pPr>
        <w:numPr>
          <w:ilvl w:val="0"/>
          <w:numId w:val="47"/>
        </w:numPr>
        <w:spacing w:line="240" w:lineRule="auto"/>
        <w:rPr>
          <w:rFonts w:cs="Times New Roman"/>
        </w:rPr>
      </w:pPr>
      <w:r w:rsidRPr="00654E3B">
        <w:rPr>
          <w:rFonts w:cs="Times New Roman"/>
        </w:rPr>
        <w:t>Sustavi praćenja energetske potrošnje trebali bi imati i izračun ugljičnog otiska.</w:t>
      </w:r>
    </w:p>
    <w:p w:rsidR="007D4A93" w:rsidRPr="00654E3B" w:rsidRDefault="00EF0BEB" w:rsidP="000C6795">
      <w:pPr>
        <w:numPr>
          <w:ilvl w:val="0"/>
          <w:numId w:val="47"/>
        </w:numPr>
        <w:spacing w:line="240" w:lineRule="auto"/>
        <w:rPr>
          <w:rFonts w:cs="Times New Roman"/>
        </w:rPr>
      </w:pPr>
      <w:r w:rsidRPr="00654E3B">
        <w:rPr>
          <w:rFonts w:cs="Times New Roman"/>
        </w:rPr>
        <w:t>Potrebno je napraviti studiju učinka scenarija NU2 na sektor prerađivačke industrije.</w:t>
      </w:r>
    </w:p>
    <w:p w:rsidR="007D4A93" w:rsidRPr="00654E3B" w:rsidRDefault="00EF0BEB" w:rsidP="000C6795">
      <w:pPr>
        <w:numPr>
          <w:ilvl w:val="0"/>
          <w:numId w:val="47"/>
        </w:numPr>
        <w:spacing w:line="240" w:lineRule="auto"/>
        <w:rPr>
          <w:rFonts w:cs="Times New Roman"/>
        </w:rPr>
      </w:pPr>
      <w:r w:rsidRPr="00654E3B">
        <w:rPr>
          <w:rFonts w:eastAsia="Times New Roman" w:cs="Times New Roman"/>
          <w:lang w:eastAsia="hr-HR"/>
        </w:rPr>
        <w:t xml:space="preserve">Potrebno je poticati studije inovativnih rješenja i pilot projekata koja vode smanjenju emisije </w:t>
      </w:r>
      <w:r w:rsidR="0022095A" w:rsidRPr="00654E3B">
        <w:rPr>
          <w:rFonts w:eastAsia="Times New Roman" w:cs="Times New Roman"/>
          <w:lang w:eastAsia="hr-HR"/>
        </w:rPr>
        <w:t xml:space="preserve">stakleničkih plinova </w:t>
      </w:r>
      <w:r w:rsidRPr="00654E3B">
        <w:rPr>
          <w:rFonts w:eastAsia="Times New Roman" w:cs="Times New Roman"/>
          <w:lang w:eastAsia="hr-HR"/>
        </w:rPr>
        <w:t>ključnih industrijskih subjekata.</w:t>
      </w:r>
    </w:p>
    <w:p w:rsidR="007D4A93" w:rsidRPr="00654E3B" w:rsidRDefault="00EF0BEB" w:rsidP="000C6795">
      <w:pPr>
        <w:numPr>
          <w:ilvl w:val="0"/>
          <w:numId w:val="47"/>
        </w:numPr>
        <w:spacing w:line="240" w:lineRule="auto"/>
        <w:rPr>
          <w:rFonts w:cs="Times New Roman"/>
        </w:rPr>
      </w:pPr>
      <w:r w:rsidRPr="00654E3B">
        <w:rPr>
          <w:rFonts w:eastAsia="Times New Roman" w:cs="Times New Roman"/>
          <w:lang w:eastAsia="hr-HR"/>
        </w:rPr>
        <w:t>Osobito poticati rješenja koja doprinose poticanju kružnog gospodarstva.</w:t>
      </w:r>
    </w:p>
    <w:p w:rsidR="007D4A93" w:rsidRPr="00654E3B" w:rsidRDefault="00EF0BEB" w:rsidP="000C6795">
      <w:pPr>
        <w:numPr>
          <w:ilvl w:val="0"/>
          <w:numId w:val="47"/>
        </w:numPr>
        <w:spacing w:line="240" w:lineRule="auto"/>
        <w:rPr>
          <w:rFonts w:cs="Times New Roman"/>
        </w:rPr>
      </w:pPr>
      <w:r w:rsidRPr="00654E3B">
        <w:rPr>
          <w:rFonts w:cs="Times New Roman"/>
        </w:rPr>
        <w:t>Potrebno je ograničavati količine fluorougljikovodika dostupnih na tržištu do 2030. godine, sukladno odredbama nacionalnog i EU zakonodavstva.</w:t>
      </w:r>
    </w:p>
    <w:p w:rsidR="007D4A93" w:rsidRPr="00654E3B" w:rsidRDefault="00EF0BEB" w:rsidP="000C6795">
      <w:pPr>
        <w:numPr>
          <w:ilvl w:val="0"/>
          <w:numId w:val="47"/>
        </w:numPr>
        <w:spacing w:line="240" w:lineRule="auto"/>
        <w:rPr>
          <w:rFonts w:cs="Times New Roman"/>
        </w:rPr>
      </w:pPr>
      <w:r w:rsidRPr="00654E3B">
        <w:rPr>
          <w:rFonts w:cs="Times New Roman"/>
        </w:rPr>
        <w:t>Potrebno je ograničavati mogućnosti naknadne ugradnje klimatizacijske opreme</w:t>
      </w:r>
      <w:r w:rsidR="00FB7319" w:rsidRPr="00654E3B">
        <w:rPr>
          <w:rFonts w:cs="Times New Roman"/>
        </w:rPr>
        <w:t>,</w:t>
      </w:r>
      <w:r w:rsidRPr="00654E3B">
        <w:rPr>
          <w:rFonts w:cs="Times New Roman"/>
        </w:rPr>
        <w:t xml:space="preserve"> oblikovane da sadrži fluorirane stakleničke plinove s potencijalom globalnog zagrijavanja iznad 150 u motorna vozila te zabraniti punjenje klimatizacijske opreme tim plinovima.</w:t>
      </w:r>
    </w:p>
    <w:p w:rsidR="007D4A93" w:rsidRPr="00654E3B" w:rsidRDefault="00EF0BEB">
      <w:pPr>
        <w:rPr>
          <w:rFonts w:cs="Times New Roman"/>
          <w:u w:val="single"/>
        </w:rPr>
      </w:pPr>
      <w:r w:rsidRPr="00654E3B">
        <w:rPr>
          <w:rFonts w:cs="Times New Roman"/>
          <w:u w:val="single"/>
        </w:rPr>
        <w:t>Do 2050. godine</w:t>
      </w:r>
    </w:p>
    <w:p w:rsidR="007D4A93" w:rsidRPr="00654E3B" w:rsidRDefault="00EF0BEB" w:rsidP="000C6795">
      <w:pPr>
        <w:pStyle w:val="ListParagraph"/>
        <w:numPr>
          <w:ilvl w:val="0"/>
          <w:numId w:val="46"/>
        </w:numPr>
        <w:spacing w:line="240" w:lineRule="auto"/>
        <w:ind w:left="714" w:hanging="357"/>
        <w:contextualSpacing w:val="0"/>
        <w:rPr>
          <w:rFonts w:cs="Times New Roman"/>
        </w:rPr>
      </w:pPr>
      <w:r w:rsidRPr="00654E3B">
        <w:rPr>
          <w:rFonts w:cs="Times New Roman"/>
        </w:rPr>
        <w:t xml:space="preserve">U svim investicijskim odlukama potrebno je uvažiti činjenicu da će cijene </w:t>
      </w:r>
      <w:r w:rsidR="00FB7319" w:rsidRPr="00654E3B">
        <w:rPr>
          <w:rFonts w:cs="Times New Roman"/>
        </w:rPr>
        <w:t xml:space="preserve">emisijskih jedinica, </w:t>
      </w:r>
      <w:r w:rsidRPr="00654E3B">
        <w:rPr>
          <w:rFonts w:cs="Times New Roman"/>
        </w:rPr>
        <w:t>u razdoblju od 2030. godine do 2050. godine</w:t>
      </w:r>
      <w:r w:rsidR="00FB7319" w:rsidRPr="00654E3B">
        <w:rPr>
          <w:rFonts w:cs="Times New Roman"/>
        </w:rPr>
        <w:t>,</w:t>
      </w:r>
      <w:r w:rsidRPr="00654E3B">
        <w:rPr>
          <w:rFonts w:cs="Times New Roman"/>
        </w:rPr>
        <w:t xml:space="preserve"> doći na razinu do 90 EUR/tCO</w:t>
      </w:r>
      <w:r w:rsidRPr="00654E3B">
        <w:rPr>
          <w:rFonts w:cs="Times New Roman"/>
          <w:vertAlign w:val="subscript"/>
        </w:rPr>
        <w:t>2</w:t>
      </w:r>
      <w:r w:rsidRPr="00654E3B">
        <w:rPr>
          <w:rFonts w:cs="Times New Roman"/>
        </w:rPr>
        <w:t xml:space="preserve">.  </w:t>
      </w:r>
    </w:p>
    <w:p w:rsidR="007D4A93" w:rsidRPr="00654E3B" w:rsidRDefault="00EF0BEB" w:rsidP="000C6795">
      <w:pPr>
        <w:pStyle w:val="ListParagraph"/>
        <w:numPr>
          <w:ilvl w:val="0"/>
          <w:numId w:val="46"/>
        </w:numPr>
        <w:spacing w:line="240" w:lineRule="auto"/>
        <w:ind w:left="714" w:hanging="357"/>
        <w:contextualSpacing w:val="0"/>
        <w:rPr>
          <w:rFonts w:cs="Times New Roman"/>
        </w:rPr>
      </w:pPr>
      <w:r w:rsidRPr="00654E3B">
        <w:rPr>
          <w:rFonts w:cs="Times New Roman"/>
        </w:rPr>
        <w:t>Povećanje energetske učinkovitosti, korištenje OIE, modernizacija proizvodnih procesa, primjena recikliranog materijala, uključivanje u lance kružnog gospodarstva i biogospodarstva, korištenje prirodnih materijala i sirovina, korištenje električne energije i energetskih oblika neutralnih za klimu (vodik, sintetska goriva), biogoriva gdje nije moguće koristiti električnu energiju ili energetske oblike neutralne za klimu.</w:t>
      </w:r>
    </w:p>
    <w:p w:rsidR="007D4A93" w:rsidRPr="00654E3B" w:rsidRDefault="00EF0BEB" w:rsidP="000C6795">
      <w:pPr>
        <w:numPr>
          <w:ilvl w:val="0"/>
          <w:numId w:val="46"/>
        </w:numPr>
        <w:spacing w:line="240" w:lineRule="auto"/>
        <w:ind w:left="714" w:hanging="357"/>
        <w:rPr>
          <w:rFonts w:cs="Times New Roman"/>
        </w:rPr>
      </w:pPr>
      <w:r w:rsidRPr="00654E3B">
        <w:rPr>
          <w:rFonts w:cs="Times New Roman"/>
        </w:rPr>
        <w:t xml:space="preserve">Za </w:t>
      </w:r>
      <w:r w:rsidR="00EE3970" w:rsidRPr="00654E3B">
        <w:rPr>
          <w:rFonts w:cs="Times New Roman"/>
        </w:rPr>
        <w:t xml:space="preserve">postizanje ciljeva iz scenarija </w:t>
      </w:r>
      <w:r w:rsidRPr="00654E3B">
        <w:rPr>
          <w:rFonts w:cs="Times New Roman"/>
        </w:rPr>
        <w:t>NU2, cementna i prerađivačka industrija te industrija za proizvodnju umjetnih gnojiva trebaju analizirati izvodljivost CCS sustava.</w:t>
      </w:r>
    </w:p>
    <w:p w:rsidR="007D4A93" w:rsidRPr="00654E3B" w:rsidRDefault="00EF0BEB" w:rsidP="000C6795">
      <w:pPr>
        <w:pStyle w:val="ListParagraph"/>
        <w:numPr>
          <w:ilvl w:val="0"/>
          <w:numId w:val="46"/>
        </w:numPr>
        <w:spacing w:line="240" w:lineRule="auto"/>
        <w:ind w:left="714" w:hanging="357"/>
        <w:contextualSpacing w:val="0"/>
        <w:rPr>
          <w:rFonts w:cs="Times New Roman"/>
        </w:rPr>
      </w:pPr>
      <w:r w:rsidRPr="00654E3B">
        <w:rPr>
          <w:rFonts w:cs="Times New Roman"/>
        </w:rPr>
        <w:t>Poticati ograničavanje i smanjenje uporabe fluoriranih stakleničkih plinova.</w:t>
      </w:r>
    </w:p>
    <w:p w:rsidR="007D4A93" w:rsidRPr="00654E3B" w:rsidRDefault="00EF0BEB" w:rsidP="000C6795">
      <w:pPr>
        <w:pStyle w:val="ListParagraph"/>
        <w:numPr>
          <w:ilvl w:val="0"/>
          <w:numId w:val="46"/>
        </w:numPr>
        <w:spacing w:line="240" w:lineRule="auto"/>
        <w:ind w:left="714" w:hanging="357"/>
        <w:contextualSpacing w:val="0"/>
        <w:rPr>
          <w:rFonts w:cs="Times New Roman"/>
        </w:rPr>
      </w:pPr>
      <w:r w:rsidRPr="00654E3B">
        <w:rPr>
          <w:rFonts w:cs="Times New Roman"/>
        </w:rPr>
        <w:t xml:space="preserve">Usluge i proizvodi trebaju imati iskazane ugljične otiske promatrano kroz ukupni životni ciklus. </w:t>
      </w:r>
    </w:p>
    <w:p w:rsidR="007D4A93" w:rsidRPr="00654E3B" w:rsidRDefault="00EF0BEB">
      <w:pPr>
        <w:pStyle w:val="Heading2"/>
        <w:rPr>
          <w:rFonts w:ascii="Times New Roman" w:hAnsi="Times New Roman" w:cs="Times New Roman"/>
        </w:rPr>
      </w:pPr>
      <w:bookmarkStart w:id="257" w:name="_Toc20841308"/>
      <w:bookmarkStart w:id="258" w:name="_Toc20841414"/>
      <w:bookmarkStart w:id="259" w:name="_Toc69810184"/>
      <w:r w:rsidRPr="00654E3B">
        <w:rPr>
          <w:rFonts w:ascii="Times New Roman" w:hAnsi="Times New Roman" w:cs="Times New Roman"/>
        </w:rPr>
        <w:lastRenderedPageBreak/>
        <w:t xml:space="preserve">6.6. </w:t>
      </w:r>
      <w:r w:rsidRPr="00654E3B">
        <w:rPr>
          <w:rFonts w:ascii="Times New Roman" w:hAnsi="Times New Roman" w:cs="Times New Roman"/>
        </w:rPr>
        <w:tab/>
        <w:t>POLJOPRIVREDA</w:t>
      </w:r>
      <w:bookmarkEnd w:id="257"/>
      <w:bookmarkEnd w:id="258"/>
      <w:bookmarkEnd w:id="259"/>
    </w:p>
    <w:p w:rsidR="007D4A93" w:rsidRPr="00654E3B" w:rsidRDefault="00EF0BEB" w:rsidP="009F6651">
      <w:pPr>
        <w:pStyle w:val="Heading3"/>
      </w:pPr>
      <w:bookmarkStart w:id="260" w:name="_Toc69810185"/>
      <w:r w:rsidRPr="00654E3B">
        <w:t>6.6.1. Emisije stakleničkih plinova</w:t>
      </w:r>
      <w:bookmarkEnd w:id="260"/>
    </w:p>
    <w:p w:rsidR="007D4A93" w:rsidRPr="00654E3B" w:rsidRDefault="007D4A93">
      <w:pPr>
        <w:keepNext/>
        <w:rPr>
          <w:rFonts w:cs="Times New Roman"/>
        </w:rPr>
      </w:pPr>
    </w:p>
    <w:p w:rsidR="007D4A93" w:rsidRPr="00654E3B" w:rsidRDefault="00EF0BEB">
      <w:pPr>
        <w:keepNext/>
        <w:rPr>
          <w:rFonts w:cs="Times New Roman"/>
        </w:rPr>
      </w:pPr>
      <w:bookmarkStart w:id="261" w:name="_Hlk36802438"/>
      <w:r w:rsidRPr="00654E3B">
        <w:rPr>
          <w:rFonts w:cs="Times New Roman"/>
        </w:rPr>
        <w:t>U ovom poglavlju se govori o emisiji N</w:t>
      </w:r>
      <w:r w:rsidRPr="00654E3B">
        <w:rPr>
          <w:rFonts w:cs="Times New Roman"/>
          <w:vertAlign w:val="subscript"/>
        </w:rPr>
        <w:t>2</w:t>
      </w:r>
      <w:r w:rsidRPr="00654E3B">
        <w:rPr>
          <w:rFonts w:cs="Times New Roman"/>
        </w:rPr>
        <w:t>O i CH</w:t>
      </w:r>
      <w:r w:rsidRPr="00654E3B">
        <w:rPr>
          <w:rFonts w:cs="Times New Roman"/>
          <w:vertAlign w:val="subscript"/>
        </w:rPr>
        <w:t>4</w:t>
      </w:r>
      <w:r w:rsidRPr="00654E3B">
        <w:rPr>
          <w:rFonts w:cs="Times New Roman"/>
        </w:rPr>
        <w:t>. Vezivanje ugljika u poljoprivrednu biomasu i tlo obrađuje se u LULUCF sektoru. Emisija CO</w:t>
      </w:r>
      <w:r w:rsidRPr="00654E3B">
        <w:rPr>
          <w:rFonts w:cs="Times New Roman"/>
          <w:vertAlign w:val="subscript"/>
        </w:rPr>
        <w:t>2</w:t>
      </w:r>
      <w:r w:rsidRPr="00654E3B">
        <w:rPr>
          <w:rFonts w:cs="Times New Roman"/>
        </w:rPr>
        <w:t xml:space="preserve"> zbog potrošnje goriva u poljoprivredi i ribarstvu obrađuje se u sektoru opće potrošnje. </w:t>
      </w:r>
    </w:p>
    <w:p w:rsidR="007D4A93" w:rsidRPr="00654E3B" w:rsidRDefault="00EF0BEB">
      <w:pPr>
        <w:rPr>
          <w:rFonts w:cs="Times New Roman"/>
        </w:rPr>
      </w:pPr>
      <w:r w:rsidRPr="00654E3B">
        <w:rPr>
          <w:rFonts w:cs="Times New Roman"/>
        </w:rPr>
        <w:t>Poljoprivreda je 2018. godine činila približno 11,4</w:t>
      </w:r>
      <w:r w:rsidR="00060992" w:rsidRPr="00654E3B">
        <w:rPr>
          <w:rFonts w:cs="Times New Roman"/>
        </w:rPr>
        <w:t xml:space="preserve"> %</w:t>
      </w:r>
      <w:r w:rsidRPr="00654E3B">
        <w:rPr>
          <w:rFonts w:cs="Times New Roman"/>
        </w:rPr>
        <w:t xml:space="preserve"> ukupne nacionalne emisije stakleničkih plinova. Primjena mineralnih gnojiva predstavlja glavne izvore emisije didušikovog oksida (29</w:t>
      </w:r>
      <w:r w:rsidR="00060992" w:rsidRPr="00654E3B">
        <w:rPr>
          <w:rFonts w:cs="Times New Roman"/>
        </w:rPr>
        <w:t xml:space="preserve"> %</w:t>
      </w:r>
      <w:r w:rsidRPr="00654E3B">
        <w:rPr>
          <w:rFonts w:cs="Times New Roman"/>
        </w:rPr>
        <w:t xml:space="preserve"> sektorske emisije N</w:t>
      </w:r>
      <w:r w:rsidRPr="00654E3B">
        <w:rPr>
          <w:rFonts w:cs="Times New Roman"/>
          <w:vertAlign w:val="subscript"/>
        </w:rPr>
        <w:t>2</w:t>
      </w:r>
      <w:r w:rsidRPr="00654E3B">
        <w:rPr>
          <w:rFonts w:cs="Times New Roman"/>
        </w:rPr>
        <w:t>O i 15</w:t>
      </w:r>
      <w:r w:rsidR="00060992" w:rsidRPr="00654E3B">
        <w:rPr>
          <w:rFonts w:cs="Times New Roman"/>
        </w:rPr>
        <w:t xml:space="preserve"> %</w:t>
      </w:r>
      <w:r w:rsidRPr="00654E3B">
        <w:rPr>
          <w:rFonts w:cs="Times New Roman"/>
        </w:rPr>
        <w:t xml:space="preserve"> ukupne sektorske emisije), uz emisije metana koje nastaju zbog uzgoja stoke (46</w:t>
      </w:r>
      <w:r w:rsidR="00060992" w:rsidRPr="00654E3B">
        <w:rPr>
          <w:rFonts w:cs="Times New Roman"/>
        </w:rPr>
        <w:t xml:space="preserve"> %</w:t>
      </w:r>
      <w:r w:rsidRPr="00654E3B">
        <w:rPr>
          <w:rFonts w:cs="Times New Roman"/>
        </w:rPr>
        <w:t xml:space="preserve"> ukupne sektorske emisije).</w:t>
      </w:r>
      <w:bookmarkEnd w:id="261"/>
    </w:p>
    <w:p w:rsidR="00AB40C9" w:rsidRPr="00654E3B" w:rsidRDefault="00EF0BEB">
      <w:pPr>
        <w:rPr>
          <w:rFonts w:cs="Times New Roman"/>
        </w:rPr>
      </w:pPr>
      <w:r w:rsidRPr="00654E3B">
        <w:rPr>
          <w:rFonts w:cs="Times New Roman"/>
        </w:rPr>
        <w:t>U ovom se sektoru, u odnosu na 1990. godinu, u niskougljičnim NU1 i NU2 scenarijima postiže smanjenje emisije za 44,5 do 46,3</w:t>
      </w:r>
      <w:r w:rsidR="00060992" w:rsidRPr="00654E3B">
        <w:rPr>
          <w:rFonts w:cs="Times New Roman"/>
        </w:rPr>
        <w:t xml:space="preserve"> %</w:t>
      </w:r>
      <w:r w:rsidRPr="00654E3B">
        <w:rPr>
          <w:rFonts w:cs="Times New Roman"/>
        </w:rPr>
        <w:t xml:space="preserve"> u 2030. godini, odnosno za 50,9 do 55,8</w:t>
      </w:r>
      <w:r w:rsidR="00060992" w:rsidRPr="00654E3B">
        <w:rPr>
          <w:rFonts w:cs="Times New Roman"/>
        </w:rPr>
        <w:t xml:space="preserve"> %</w:t>
      </w:r>
      <w:r w:rsidRPr="00654E3B">
        <w:rPr>
          <w:rFonts w:cs="Times New Roman"/>
        </w:rPr>
        <w:t xml:space="preserve"> u 2050. godini.</w:t>
      </w:r>
    </w:p>
    <w:p w:rsidR="007D4A93" w:rsidRPr="00654E3B" w:rsidRDefault="00EF0BEB" w:rsidP="009F6651">
      <w:pPr>
        <w:pStyle w:val="Heading3"/>
      </w:pPr>
      <w:bookmarkStart w:id="262" w:name="_Toc69810186"/>
      <w:r w:rsidRPr="00654E3B">
        <w:t>6.6.2. Politike i mjere za niskougljični razvoj</w:t>
      </w:r>
      <w:bookmarkEnd w:id="262"/>
    </w:p>
    <w:p w:rsidR="007D4A93" w:rsidRPr="00654E3B" w:rsidRDefault="007D4A93">
      <w:pPr>
        <w:rPr>
          <w:rFonts w:cs="Times New Roman"/>
        </w:rPr>
      </w:pPr>
    </w:p>
    <w:p w:rsidR="007D4A93" w:rsidRPr="00654E3B" w:rsidRDefault="00EF0BEB">
      <w:pPr>
        <w:rPr>
          <w:rFonts w:cs="Times New Roman"/>
        </w:rPr>
      </w:pPr>
      <w:r w:rsidRPr="00654E3B">
        <w:rPr>
          <w:rFonts w:cs="Times New Roman"/>
        </w:rPr>
        <w:t>Pokušaj drastičnog smanjenja emisije u poljoprivredi</w:t>
      </w:r>
      <w:r w:rsidR="00AC6260" w:rsidRPr="00654E3B">
        <w:rPr>
          <w:rFonts w:cs="Times New Roman"/>
        </w:rPr>
        <w:t>,</w:t>
      </w:r>
      <w:r w:rsidRPr="00654E3B">
        <w:rPr>
          <w:rFonts w:cs="Times New Roman"/>
        </w:rPr>
        <w:t xml:space="preserve"> imao bi izravni utjecaj na proizvodnju hrane, promjene u prinosima usjeva, načinu korištenja poljoprivrednih površina</w:t>
      </w:r>
      <w:r w:rsidR="00AC6260" w:rsidRPr="00654E3B">
        <w:rPr>
          <w:rFonts w:cs="Times New Roman"/>
        </w:rPr>
        <w:t xml:space="preserve"> te </w:t>
      </w:r>
      <w:r w:rsidRPr="00654E3B">
        <w:rPr>
          <w:rFonts w:cs="Times New Roman"/>
        </w:rPr>
        <w:t>promjene u produktivnosti i sastavu stočnog fonda. Primjena mjera u sektoru poljoprivrede</w:t>
      </w:r>
      <w:r w:rsidR="00AC6260" w:rsidRPr="00654E3B">
        <w:rPr>
          <w:rFonts w:cs="Times New Roman"/>
        </w:rPr>
        <w:t>,</w:t>
      </w:r>
      <w:r w:rsidRPr="00654E3B">
        <w:rPr>
          <w:rFonts w:cs="Times New Roman"/>
        </w:rPr>
        <w:t xml:space="preserve"> stoga ima snažnu gospodarsku i sociološku dimenziju.</w:t>
      </w:r>
    </w:p>
    <w:p w:rsidR="007D4A93" w:rsidRPr="00654E3B" w:rsidRDefault="00EF0BEB">
      <w:pPr>
        <w:rPr>
          <w:rFonts w:cs="Times New Roman"/>
        </w:rPr>
      </w:pPr>
      <w:r w:rsidRPr="00654E3B">
        <w:rPr>
          <w:rFonts w:cs="Times New Roman"/>
        </w:rPr>
        <w:t xml:space="preserve">Poljoprivreda je sektor koji je osobito ranjiv na klimatske promjene. Temeljni izazov je kako smanjiti emisije stakleničkih plinova i održati proizvodnju hrane. Klimatske promjene su samo jedan od pritisaka na poljoprivredu. U globalnom kontekstu povećanja konkurencije, proizvodnja hrane mora se promatrati kroz zajednički kontekst, poljoprivredu, energiju i sigurnost hrane. </w:t>
      </w:r>
    </w:p>
    <w:p w:rsidR="007D4A93" w:rsidRPr="00654E3B" w:rsidRDefault="00EF0BEB">
      <w:pPr>
        <w:rPr>
          <w:rFonts w:cs="Times New Roman"/>
        </w:rPr>
      </w:pPr>
      <w:r w:rsidRPr="00654E3B">
        <w:rPr>
          <w:rFonts w:cs="Times New Roman"/>
        </w:rPr>
        <w:t xml:space="preserve">Vizija </w:t>
      </w:r>
      <w:r w:rsidR="004A5CF0" w:rsidRPr="00654E3B">
        <w:rPr>
          <w:rFonts w:cs="Times New Roman"/>
        </w:rPr>
        <w:t xml:space="preserve">niskougljičnog razvoja u sektoru </w:t>
      </w:r>
      <w:r w:rsidRPr="00654E3B">
        <w:rPr>
          <w:rFonts w:cs="Times New Roman"/>
        </w:rPr>
        <w:t>poljoprivrede podrazumijeva punu primjenu dobre poljoprivredne prakse</w:t>
      </w:r>
      <w:r w:rsidR="00124CB6" w:rsidRPr="00654E3B">
        <w:rPr>
          <w:rFonts w:cs="Times New Roman"/>
        </w:rPr>
        <w:t>,</w:t>
      </w:r>
      <w:r w:rsidRPr="00654E3B">
        <w:rPr>
          <w:rFonts w:cs="Times New Roman"/>
        </w:rPr>
        <w:t xml:space="preserve"> koju bi trebali primjenjivati obrazovani poljoprivrednici, u obnovljenim selima, na okrupnjenim gospodarstvima, s visokim prinosima raznolikih kultura otpornih na klimatske promjene i rizike meteoroloških nepogoda. Gospodarstva će biti ekonomski održiva i konkurentna, s uzgojem koji je orijentiran prema eko-proizvodnji i zelenom tržištu, uz korištenje agrookolišnih i agrošumarskih sustava. Ruralna područja i gospodarstva će biti energetski gotovo neutralna i resursno učinkovita. Proizvodit će se biomasa za goriva bez ugrožavanja proizvodnje hrane, pri čemu će proaktivno doprinositi smanjenu emisije stakleničkih plinova s neznatnim utjecajima na okoliš. Sve mjere koje će se poduzimati biti će temeljene na troškovnoj učinkovitosti, uvažavanjem socio-gospodarskih i prirodnih osobitosti.  </w:t>
      </w:r>
    </w:p>
    <w:p w:rsidR="007D4A93" w:rsidRPr="00654E3B" w:rsidRDefault="00EF0BEB">
      <w:pPr>
        <w:rPr>
          <w:rFonts w:cs="Times New Roman"/>
        </w:rPr>
      </w:pPr>
      <w:r w:rsidRPr="00654E3B">
        <w:rPr>
          <w:rFonts w:cs="Times New Roman"/>
        </w:rPr>
        <w:t>Pozitivan utjecaj primjene mjera na ukupnu emisiju stakleničkih plinova u sektoru poljoprivrede</w:t>
      </w:r>
      <w:r w:rsidR="00124CB6" w:rsidRPr="00654E3B">
        <w:rPr>
          <w:rFonts w:cs="Times New Roman"/>
        </w:rPr>
        <w:t>,</w:t>
      </w:r>
      <w:r w:rsidRPr="00654E3B">
        <w:rPr>
          <w:rFonts w:cs="Times New Roman"/>
        </w:rPr>
        <w:t xml:space="preserve"> očituje se kroz izravno smanjenje emisija metana i didušikovih spojeva. Mjere uključene pri formiranju NU1 scenarija poljoprivrede u odnosu na NUR scenarij su:</w:t>
      </w:r>
    </w:p>
    <w:p w:rsidR="002409E5" w:rsidRPr="00654E3B" w:rsidRDefault="002409E5" w:rsidP="002409E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promjena u ishrani goveda i svinja te sastavu hrane za životinje</w:t>
      </w:r>
      <w:r w:rsidR="00124CB6" w:rsidRPr="00654E3B">
        <w:rPr>
          <w:rFonts w:cs="Times New Roman"/>
          <w:sz w:val="24"/>
          <w:szCs w:val="24"/>
        </w:rPr>
        <w:t>;</w:t>
      </w:r>
    </w:p>
    <w:p w:rsidR="002409E5" w:rsidRPr="00654E3B" w:rsidRDefault="002409E5" w:rsidP="002409E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anaerobna digestija (silaže i obnovljive ligno</w:t>
      </w:r>
      <w:r w:rsidR="00124CB6" w:rsidRPr="00654E3B">
        <w:rPr>
          <w:rFonts w:cs="Times New Roman"/>
          <w:sz w:val="24"/>
          <w:szCs w:val="24"/>
        </w:rPr>
        <w:t>-</w:t>
      </w:r>
      <w:r w:rsidRPr="00654E3B">
        <w:rPr>
          <w:rFonts w:cs="Times New Roman"/>
          <w:sz w:val="24"/>
          <w:szCs w:val="24"/>
        </w:rPr>
        <w:t>celulozne sirovine, organskih nusproizvoda prehrambene industrije i klaonica, biorazgradive frakcije čvrstog komunalnog otpada te mikrobne biomase) i proizvodnja bioplina za proizvodnju električne i toplinske energije i goriva za motore s unutarnjim izgaranjem</w:t>
      </w:r>
      <w:r w:rsidR="00124CB6" w:rsidRPr="00654E3B">
        <w:rPr>
          <w:rFonts w:cs="Times New Roman"/>
          <w:sz w:val="24"/>
          <w:szCs w:val="24"/>
        </w:rPr>
        <w:t>;</w:t>
      </w:r>
    </w:p>
    <w:p w:rsidR="00CF3E6D" w:rsidRPr="00654E3B" w:rsidRDefault="002409E5" w:rsidP="00CF3E6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 xml:space="preserve">unaprijediti objekte ili nastambe kao i sustav gospodarenja </w:t>
      </w:r>
      <w:r w:rsidR="00CF3E6D" w:rsidRPr="00654E3B">
        <w:rPr>
          <w:rFonts w:cs="Times New Roman"/>
          <w:sz w:val="24"/>
          <w:szCs w:val="24"/>
        </w:rPr>
        <w:t>gnojivom</w:t>
      </w:r>
      <w:r w:rsidR="00124CB6" w:rsidRPr="00654E3B">
        <w:rPr>
          <w:rFonts w:cs="Times New Roman"/>
          <w:sz w:val="24"/>
          <w:szCs w:val="24"/>
        </w:rPr>
        <w:t>;</w:t>
      </w:r>
    </w:p>
    <w:p w:rsidR="002409E5" w:rsidRPr="00654E3B" w:rsidRDefault="002409E5" w:rsidP="00CF3E6D">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unaprijediti aplikaciju gnojiva</w:t>
      </w:r>
      <w:r w:rsidR="00124CB6" w:rsidRPr="00654E3B">
        <w:rPr>
          <w:rFonts w:cs="Times New Roman"/>
          <w:sz w:val="24"/>
          <w:szCs w:val="24"/>
        </w:rPr>
        <w:t>;</w:t>
      </w:r>
    </w:p>
    <w:p w:rsidR="002409E5" w:rsidRPr="00654E3B" w:rsidRDefault="002409E5" w:rsidP="002409E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izgradnja hidromelioracijskih zahvata</w:t>
      </w:r>
      <w:r w:rsidR="00124CB6" w:rsidRPr="00654E3B">
        <w:rPr>
          <w:rFonts w:cs="Times New Roman"/>
          <w:sz w:val="24"/>
          <w:szCs w:val="24"/>
        </w:rPr>
        <w:t>;</w:t>
      </w:r>
    </w:p>
    <w:p w:rsidR="002409E5" w:rsidRPr="00654E3B" w:rsidRDefault="002409E5" w:rsidP="002409E5">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sz w:val="24"/>
          <w:szCs w:val="24"/>
        </w:rPr>
      </w:pPr>
      <w:r w:rsidRPr="00654E3B">
        <w:rPr>
          <w:rFonts w:cs="Times New Roman"/>
          <w:sz w:val="24"/>
          <w:szCs w:val="24"/>
        </w:rPr>
        <w:t xml:space="preserve">poticati razvoj </w:t>
      </w:r>
      <w:r w:rsidR="00474596" w:rsidRPr="00654E3B">
        <w:rPr>
          <w:rFonts w:cs="Times New Roman"/>
          <w:sz w:val="24"/>
          <w:szCs w:val="24"/>
        </w:rPr>
        <w:t>„</w:t>
      </w:r>
      <w:r w:rsidRPr="00654E3B">
        <w:rPr>
          <w:rFonts w:cs="Times New Roman"/>
          <w:sz w:val="24"/>
          <w:szCs w:val="24"/>
        </w:rPr>
        <w:t>precizne poljoprivrede</w:t>
      </w:r>
      <w:r w:rsidR="00474596" w:rsidRPr="00654E3B">
        <w:rPr>
          <w:rFonts w:cs="Times New Roman"/>
          <w:sz w:val="24"/>
          <w:szCs w:val="24"/>
        </w:rPr>
        <w:t>“</w:t>
      </w:r>
      <w:r w:rsidRPr="00654E3B">
        <w:rPr>
          <w:rFonts w:cs="Times New Roman"/>
          <w:sz w:val="24"/>
          <w:szCs w:val="24"/>
        </w:rPr>
        <w:t xml:space="preserve"> koja se temelji na razvijenim GIS i GPS</w:t>
      </w:r>
      <w:r w:rsidR="00474596" w:rsidRPr="00654E3B">
        <w:rPr>
          <w:rFonts w:cs="Times New Roman"/>
          <w:sz w:val="24"/>
          <w:szCs w:val="24"/>
        </w:rPr>
        <w:t xml:space="preserve"> </w:t>
      </w:r>
      <w:r w:rsidRPr="00654E3B">
        <w:rPr>
          <w:rFonts w:cs="Times New Roman"/>
          <w:sz w:val="24"/>
          <w:szCs w:val="24"/>
        </w:rPr>
        <w:t>tehnologijama</w:t>
      </w:r>
      <w:r w:rsidR="00124CB6" w:rsidRPr="00654E3B">
        <w:rPr>
          <w:rFonts w:cs="Times New Roman"/>
          <w:sz w:val="24"/>
          <w:szCs w:val="24"/>
        </w:rPr>
        <w:t>;</w:t>
      </w:r>
    </w:p>
    <w:p w:rsidR="002409E5" w:rsidRPr="00654E3B" w:rsidRDefault="002409E5" w:rsidP="002409E5">
      <w:pPr>
        <w:pStyle w:val="ListParagraph"/>
        <w:numPr>
          <w:ilvl w:val="0"/>
          <w:numId w:val="12"/>
        </w:numPr>
        <w:spacing w:line="240" w:lineRule="auto"/>
        <w:rPr>
          <w:rFonts w:cs="Times New Roman"/>
        </w:rPr>
      </w:pPr>
      <w:r w:rsidRPr="00654E3B">
        <w:rPr>
          <w:rFonts w:cs="Times New Roman"/>
          <w:sz w:val="24"/>
          <w:szCs w:val="24"/>
        </w:rPr>
        <w:t>uvođenje novih kultivara, sorti i vrsta</w:t>
      </w:r>
      <w:r w:rsidR="00124CB6" w:rsidRPr="00654E3B">
        <w:rPr>
          <w:rFonts w:cs="Times New Roman"/>
          <w:sz w:val="24"/>
          <w:szCs w:val="24"/>
        </w:rPr>
        <w:t>.</w:t>
      </w:r>
    </w:p>
    <w:p w:rsidR="007D4A93" w:rsidRPr="00654E3B" w:rsidRDefault="00EF0BEB">
      <w:pPr>
        <w:rPr>
          <w:rFonts w:cs="Times New Roman"/>
        </w:rPr>
      </w:pPr>
      <w:r w:rsidRPr="00654E3B">
        <w:rPr>
          <w:rFonts w:cs="Times New Roman"/>
        </w:rPr>
        <w:lastRenderedPageBreak/>
        <w:t>Na razini EU provodi se Zajednička poljoprivredna politika, koja uvažava osobitosti država članica. Osjetljivost primjene mjera raspoznata je na razini EU kao ključni izazov. Stoga je i u Okviru klimatsko-energetske politike do 2030. godine</w:t>
      </w:r>
      <w:r w:rsidR="00124CB6" w:rsidRPr="00654E3B">
        <w:rPr>
          <w:rFonts w:cs="Times New Roman"/>
        </w:rPr>
        <w:t>,</w:t>
      </w:r>
      <w:r w:rsidRPr="00654E3B">
        <w:rPr>
          <w:rFonts w:cs="Times New Roman"/>
        </w:rPr>
        <w:t xml:space="preserve"> predložen mehanizam kojim se državama članicama u slučaju potrebe omogućuje korištenje obračuna za sektore izvan ETS-a, odnosno korištenje </w:t>
      </w:r>
      <w:r w:rsidR="00BF4CA8" w:rsidRPr="00654E3B">
        <w:rPr>
          <w:rFonts w:cs="Times New Roman"/>
        </w:rPr>
        <w:t>ponor</w:t>
      </w:r>
      <w:r w:rsidRPr="00654E3B">
        <w:rPr>
          <w:rFonts w:cs="Times New Roman"/>
        </w:rPr>
        <w:t xml:space="preserve">a nastalih zbog promjena zaliha ugljika sadnjom novih šuma, promjena zaliha ugljika na poljoprivrednom zemljištu kojim se gospodari i </w:t>
      </w:r>
      <w:r w:rsidR="00BF4CA8" w:rsidRPr="00654E3B">
        <w:rPr>
          <w:rFonts w:cs="Times New Roman"/>
        </w:rPr>
        <w:t>ponor</w:t>
      </w:r>
      <w:r w:rsidRPr="00654E3B">
        <w:rPr>
          <w:rFonts w:cs="Times New Roman"/>
        </w:rPr>
        <w:t xml:space="preserve">e zbog promjene zaliha ugljika na pašnjacima kojima se gospodari. Ova fleksibilnost je određena temeljem udjela poljoprivrede u ukupnoj emisiji stakleničkih plinova sektora izvan ETS-a. Kako bi joj bilo omogućeno korištenje ove fleksibilnosti, potrebno je da Republika Hrvatska uspostavi cjelovit sustav praćenja promjena zaliha ugljika u poljoprivrednom tlu i pašnjacima, odnosno u svim kategorijama korištenja zemljišta, kako ih definira LULUCF. </w:t>
      </w:r>
    </w:p>
    <w:p w:rsidR="007D4A93" w:rsidRPr="00654E3B" w:rsidRDefault="00EF0BEB">
      <w:pPr>
        <w:rPr>
          <w:rFonts w:cs="Times New Roman"/>
        </w:rPr>
      </w:pPr>
      <w:r w:rsidRPr="00654E3B">
        <w:rPr>
          <w:rFonts w:cs="Times New Roman"/>
        </w:rPr>
        <w:t>Za procjenu potencijalnog umanjenja ukupnih emisija iskazanih kroz povećanje organskog ugljika u tlu (LULUCF sektor)</w:t>
      </w:r>
      <w:r w:rsidR="00124CB6" w:rsidRPr="00654E3B">
        <w:rPr>
          <w:rFonts w:cs="Times New Roman"/>
        </w:rPr>
        <w:t>,</w:t>
      </w:r>
      <w:r w:rsidRPr="00654E3B">
        <w:rPr>
          <w:rFonts w:cs="Times New Roman"/>
        </w:rPr>
        <w:t xml:space="preserve"> primjenom dodatnog seta mjera</w:t>
      </w:r>
      <w:r w:rsidR="000B4934" w:rsidRPr="00654E3B">
        <w:rPr>
          <w:rFonts w:cs="Times New Roman"/>
        </w:rPr>
        <w:t>,</w:t>
      </w:r>
      <w:r w:rsidRPr="00654E3B">
        <w:rPr>
          <w:rFonts w:cs="Times New Roman"/>
        </w:rPr>
        <w:t xml:space="preserve"> potrebno je provesti nacionalna istraživanja s ciljem definiranja stvarnih potencijala za povećavanje ugljika u poljoprivrednim tlima u Republici Hrvatskoj, posebice odnos sustava reducirane obrade tla s obzirom na gnojidbene preporuke, te nastaviti istraživanje potencijala za primjenu ovisno o </w:t>
      </w:r>
      <w:r w:rsidR="005E70D9" w:rsidRPr="00654E3B">
        <w:rPr>
          <w:rFonts w:cs="Times New Roman"/>
        </w:rPr>
        <w:t>tipu tla</w:t>
      </w:r>
      <w:r w:rsidRPr="00654E3B">
        <w:rPr>
          <w:rFonts w:cs="Times New Roman"/>
        </w:rPr>
        <w:t>. Mjere koje imaju potencijal za povećavanje sekvestracije ugljika: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unaprjeđivanje i promjena sustava obrade tla (reducirana obrada)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proširenje plodoreda s većim učešćem leguminoza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intenziviranje plodoreda korištenjem međuusjeva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poboljšanje načina primjene organskih gnojiva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zelena gnojidba</w:t>
      </w:r>
    </w:p>
    <w:p w:rsidR="007D4A93" w:rsidRPr="00654E3B" w:rsidRDefault="00EF0BEB" w:rsidP="000C6795">
      <w:pPr>
        <w:pStyle w:val="ListParagraph"/>
        <w:numPr>
          <w:ilvl w:val="0"/>
          <w:numId w:val="13"/>
        </w:numPr>
        <w:spacing w:line="240" w:lineRule="auto"/>
        <w:ind w:left="714" w:hanging="357"/>
        <w:rPr>
          <w:rFonts w:cs="Times New Roman"/>
        </w:rPr>
      </w:pPr>
      <w:r w:rsidRPr="00654E3B">
        <w:rPr>
          <w:rFonts w:cs="Times New Roman"/>
        </w:rPr>
        <w:t>agrošumarstvo.</w:t>
      </w:r>
    </w:p>
    <w:p w:rsidR="007D4A93" w:rsidRPr="00654E3B" w:rsidRDefault="00EF0BEB">
      <w:pPr>
        <w:rPr>
          <w:rFonts w:cs="Times New Roman"/>
        </w:rPr>
      </w:pPr>
      <w:bookmarkStart w:id="263" w:name="_Toc475714748"/>
      <w:bookmarkStart w:id="264" w:name="_Toc475716161"/>
      <w:r w:rsidRPr="00654E3B">
        <w:rPr>
          <w:rFonts w:cs="Times New Roman"/>
        </w:rPr>
        <w:t>Potrebno je spomenuti da bi se dodatno značajno (izravno i neizravno) smanjenje emisije stakleničkih plinova</w:t>
      </w:r>
      <w:r w:rsidR="000B4934" w:rsidRPr="00654E3B">
        <w:rPr>
          <w:rFonts w:cs="Times New Roman"/>
        </w:rPr>
        <w:t>,</w:t>
      </w:r>
      <w:r w:rsidRPr="00654E3B">
        <w:rPr>
          <w:rFonts w:cs="Times New Roman"/>
        </w:rPr>
        <w:t xml:space="preserve"> moglo ostvariti uz promjene prehrambenih navika društva, odnosno mjerama kojima bi se poticala </w:t>
      </w:r>
      <w:r w:rsidR="009B6E92" w:rsidRPr="00654E3B">
        <w:rPr>
          <w:rFonts w:cs="Times New Roman"/>
        </w:rPr>
        <w:t xml:space="preserve">veća </w:t>
      </w:r>
      <w:r w:rsidRPr="00654E3B">
        <w:rPr>
          <w:rFonts w:cs="Times New Roman"/>
        </w:rPr>
        <w:t xml:space="preserve">potrošnja </w:t>
      </w:r>
      <w:r w:rsidR="009B6E92" w:rsidRPr="00654E3B">
        <w:rPr>
          <w:rFonts w:cs="Times New Roman"/>
        </w:rPr>
        <w:t xml:space="preserve"> namirnica biljnog porijekla</w:t>
      </w:r>
      <w:r w:rsidRPr="00654E3B">
        <w:rPr>
          <w:rFonts w:cs="Times New Roman"/>
        </w:rPr>
        <w:t xml:space="preserve">. Takve mjere podrazumijevaju i značajne promjene u strukturi poljoprivredne proizvodnje, posebice stočarstva. </w:t>
      </w:r>
      <w:r w:rsidR="007B2538" w:rsidRPr="00654E3B">
        <w:rPr>
          <w:rFonts w:cs="Times New Roman"/>
        </w:rPr>
        <w:t>Smanjenje ostataka i gubitaka od hrane treba biti jedna od prioritetnih mjera</w:t>
      </w:r>
      <w:r w:rsidRPr="00654E3B">
        <w:rPr>
          <w:rFonts w:cs="Times New Roman"/>
        </w:rPr>
        <w:t>.</w:t>
      </w:r>
    </w:p>
    <w:p w:rsidR="007D4A93" w:rsidRPr="00654E3B" w:rsidRDefault="00756CA8" w:rsidP="00756CA8">
      <w:pPr>
        <w:rPr>
          <w:rFonts w:cs="Times New Roman"/>
        </w:rPr>
      </w:pPr>
      <w:r w:rsidRPr="00654E3B">
        <w:rPr>
          <w:rFonts w:cs="Times New Roman"/>
        </w:rPr>
        <w:t>Potrebno je potaknuti razvoj projekata za proizvodnju bioplina i projekata za prikupljanje biomase, nastale nakon rezidbe trajnih nasada i žetve ratarskih vrsta te proizvodnju agropeleta</w:t>
      </w:r>
      <w:r w:rsidR="00995393" w:rsidRPr="00654E3B">
        <w:rPr>
          <w:rFonts w:cs="Times New Roman"/>
        </w:rPr>
        <w:t xml:space="preserve">. Izbjegnute emisije uslijed korištenja biomase obračunavaju se u sektoru energetike. Isto vrijedi i za sadnju brzorastućih kultura za proizvodnju biomase. </w:t>
      </w:r>
    </w:p>
    <w:p w:rsidR="007D4A93" w:rsidRPr="00654E3B" w:rsidRDefault="00EF0BEB">
      <w:pPr>
        <w:rPr>
          <w:rFonts w:cs="Times New Roman"/>
        </w:rPr>
      </w:pPr>
      <w:r w:rsidRPr="00654E3B">
        <w:rPr>
          <w:rFonts w:cs="Times New Roman"/>
        </w:rPr>
        <w:t xml:space="preserve">Proizvodnja biogoriva ne smije biti nauštrb proizvodnje hrane, stoga će prihvatljiva biti ona biogoriva koja su certificirana s obzirom na kriterij održivosti. </w:t>
      </w:r>
    </w:p>
    <w:p w:rsidR="007D4A93" w:rsidRPr="00654E3B" w:rsidRDefault="00EF0BEB">
      <w:pPr>
        <w:jc w:val="left"/>
        <w:rPr>
          <w:rFonts w:cs="Times New Roman"/>
          <w:u w:val="single"/>
        </w:rPr>
      </w:pPr>
      <w:r w:rsidRPr="00654E3B">
        <w:rPr>
          <w:rFonts w:cs="Times New Roman"/>
          <w:u w:val="single"/>
        </w:rPr>
        <w:t xml:space="preserve">Istraživanje, razvoj i poticanje lokalne i regionalne povezanosti proizvođača poljoprivrednih proizvoda i turističkog sektora </w:t>
      </w:r>
    </w:p>
    <w:p w:rsidR="007D4A93" w:rsidRPr="00654E3B" w:rsidRDefault="00EF0BEB">
      <w:pPr>
        <w:rPr>
          <w:rFonts w:cs="Times New Roman"/>
        </w:rPr>
      </w:pPr>
      <w:r w:rsidRPr="00654E3B">
        <w:rPr>
          <w:rFonts w:cs="Times New Roman"/>
        </w:rPr>
        <w:t>Osim tehničkih mjera za smanjenje emisija stakleničkih plinova ili uvođenje alternativnih načina obrade tla i procesa uzgoja i držanja stoke, svakako je potrebno razmotriti mogućnost iskorištavanja velikog sinergijskog potencijala poljoprivredne proizvodnje. Mnoge su prerađivačke proizvodne grane kao i tercijarni uslužni sektor komplementarne ili direktno ovisne o poljoprivrednoj proizvodnji. Budući da Republika Hrvatska ima veliku razvojnu snagu u očuvanim prirodnim (voda, tlo) resursima, očuvanim krajobraznim vrijednostima i činjenici da je snažan turistički recipijent (s velikim potencijalom za ruralni i ekološki turizam), obrazovanjem i poticanjem lokalnog povezivanja cijelog prehrambenog lanca „od polja do stola“ – odnosno povezivanja lokalne turističke ponude, prerađivača i lokalnih proizvođača</w:t>
      </w:r>
      <w:r w:rsidR="000B4934" w:rsidRPr="00654E3B">
        <w:rPr>
          <w:rFonts w:cs="Times New Roman"/>
        </w:rPr>
        <w:t>,</w:t>
      </w:r>
      <w:r w:rsidRPr="00654E3B">
        <w:rPr>
          <w:rFonts w:cs="Times New Roman"/>
        </w:rPr>
        <w:t xml:space="preserve"> svakako se može očekivati smanjenje emisije stakleničkih plinova – kako izravno korištenjem ekološke poljoprivrede ili tehnologije uzgoja s manjim gubicima dušika, tako i neizravno smanjenjem emisija uslijed transporta, skladištenja i obrade daleko od mjesta proizvodnje poljoprivrednog proizvoda.</w:t>
      </w:r>
      <w:bookmarkStart w:id="265" w:name="_Toc476226537"/>
      <w:bookmarkStart w:id="266" w:name="_Toc477868503"/>
      <w:bookmarkStart w:id="267" w:name="_Toc478995901"/>
      <w:bookmarkStart w:id="268" w:name="_Toc484159005"/>
    </w:p>
    <w:p w:rsidR="007D4A93" w:rsidRPr="00654E3B" w:rsidRDefault="00EF0BEB" w:rsidP="009F6651">
      <w:pPr>
        <w:pStyle w:val="Heading3"/>
      </w:pPr>
      <w:bookmarkStart w:id="269" w:name="_Toc69810187"/>
      <w:r w:rsidRPr="00654E3B">
        <w:t>6.6.3. Smjernice za niskougljični razvoj</w:t>
      </w:r>
      <w:bookmarkEnd w:id="263"/>
      <w:bookmarkEnd w:id="264"/>
      <w:bookmarkEnd w:id="265"/>
      <w:bookmarkEnd w:id="266"/>
      <w:bookmarkEnd w:id="267"/>
      <w:bookmarkEnd w:id="268"/>
      <w:bookmarkEnd w:id="269"/>
    </w:p>
    <w:p w:rsidR="007D4A93" w:rsidRPr="00654E3B" w:rsidRDefault="007D4A93">
      <w:pPr>
        <w:rPr>
          <w:rFonts w:cs="Times New Roman"/>
        </w:rPr>
      </w:pPr>
    </w:p>
    <w:p w:rsidR="007D4A93" w:rsidRPr="00654E3B" w:rsidRDefault="00EF0BEB">
      <w:pPr>
        <w:spacing w:line="240" w:lineRule="auto"/>
        <w:rPr>
          <w:rFonts w:cs="Times New Roman"/>
          <w:u w:val="single"/>
          <w:lang w:eastAsia="hr-HR"/>
        </w:rPr>
      </w:pPr>
      <w:r w:rsidRPr="00654E3B">
        <w:rPr>
          <w:rFonts w:cs="Times New Roman"/>
          <w:u w:val="single"/>
          <w:lang w:eastAsia="hr-HR"/>
        </w:rPr>
        <w:t>Do 2030. godine</w:t>
      </w:r>
    </w:p>
    <w:p w:rsidR="007D4A93" w:rsidRPr="00654E3B" w:rsidRDefault="00EF0BE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lastRenderedPageBreak/>
        <w:t xml:space="preserve">Očekuju se unaprjeđenja u sustavu uzgoja stoke i režimu </w:t>
      </w:r>
      <w:r w:rsidR="00DE41D8" w:rsidRPr="00654E3B">
        <w:rPr>
          <w:rFonts w:cs="Times New Roman"/>
          <w:lang w:eastAsia="hr-HR"/>
        </w:rPr>
        <w:t xml:space="preserve">ishrane </w:t>
      </w:r>
      <w:r w:rsidRPr="00654E3B">
        <w:rPr>
          <w:rFonts w:cs="Times New Roman"/>
          <w:lang w:eastAsia="hr-HR"/>
        </w:rPr>
        <w:t>(obrada krmiva s ciljem povećanja probavljivosti, poboljšanje kvalitete voluminoznih krmiva i unapređenje sustava napasivanja, upotreba aditiva u hrani za životinje)</w:t>
      </w:r>
      <w:r w:rsidR="000B4934" w:rsidRPr="00654E3B">
        <w:rPr>
          <w:rFonts w:cs="Times New Roman"/>
          <w:lang w:eastAsia="hr-HR"/>
        </w:rPr>
        <w:t>,</w:t>
      </w:r>
      <w:r w:rsidRPr="00654E3B">
        <w:rPr>
          <w:rFonts w:cs="Times New Roman"/>
          <w:lang w:eastAsia="hr-HR"/>
        </w:rPr>
        <w:t xml:space="preserve"> uz izgradnju bioplinskih postrojenja (</w:t>
      </w:r>
      <w:r w:rsidR="00982D90" w:rsidRPr="00654E3B">
        <w:rPr>
          <w:rFonts w:cs="Times New Roman"/>
          <w:lang w:eastAsia="hr-HR"/>
        </w:rPr>
        <w:t xml:space="preserve">uvođenje </w:t>
      </w:r>
      <w:r w:rsidRPr="00654E3B">
        <w:rPr>
          <w:rFonts w:cs="Times New Roman"/>
          <w:lang w:eastAsia="hr-HR"/>
        </w:rPr>
        <w:t xml:space="preserve">bioplinskih postrojenja na velikim </w:t>
      </w:r>
      <w:r w:rsidR="00982D90" w:rsidRPr="00654E3B">
        <w:rPr>
          <w:rFonts w:cs="Times New Roman"/>
          <w:lang w:eastAsia="hr-HR"/>
        </w:rPr>
        <w:t xml:space="preserve">i srednjim </w:t>
      </w:r>
      <w:r w:rsidRPr="00654E3B">
        <w:rPr>
          <w:rFonts w:cs="Times New Roman"/>
          <w:lang w:eastAsia="hr-HR"/>
        </w:rPr>
        <w:t>poljoprivrednim farmama – očekivano 25</w:t>
      </w:r>
      <w:r w:rsidR="00060992" w:rsidRPr="00654E3B">
        <w:rPr>
          <w:rFonts w:cs="Times New Roman"/>
          <w:lang w:eastAsia="hr-HR"/>
        </w:rPr>
        <w:t xml:space="preserve"> %</w:t>
      </w:r>
      <w:r w:rsidRPr="00654E3B">
        <w:rPr>
          <w:rFonts w:cs="Times New Roman"/>
          <w:lang w:eastAsia="hr-HR"/>
        </w:rPr>
        <w:t xml:space="preserve"> ukupnog broja grla svinja, goveda i peradi.). U ovome razdoblju će biti jasniji i daljnji trend kretanja broja grla stoke iz kojih će biti jasnije definirani prioritetni izvori emisije.</w:t>
      </w:r>
    </w:p>
    <w:p w:rsidR="007D4A93" w:rsidRPr="00654E3B" w:rsidRDefault="00662E12" w:rsidP="00662E12">
      <w:pPr>
        <w:pStyle w:val="ListParagraph"/>
        <w:numPr>
          <w:ilvl w:val="0"/>
          <w:numId w:val="45"/>
        </w:numPr>
        <w:spacing w:line="240" w:lineRule="auto"/>
        <w:rPr>
          <w:rFonts w:cs="Times New Roman"/>
          <w:lang w:eastAsia="hr-HR"/>
        </w:rPr>
      </w:pPr>
      <w:r w:rsidRPr="00654E3B">
        <w:rPr>
          <w:rFonts w:cs="Times New Roman"/>
          <w:lang w:eastAsia="hr-HR"/>
        </w:rPr>
        <w:t>Jačati sustav</w:t>
      </w:r>
      <w:r w:rsidR="00EF0BEB" w:rsidRPr="00654E3B">
        <w:rPr>
          <w:rFonts w:cs="Times New Roman"/>
          <w:lang w:eastAsia="hr-HR"/>
        </w:rPr>
        <w:t xml:space="preserve"> prikupljanja orezane biomase trajnih nasada i ratarske biomase</w:t>
      </w:r>
      <w:r w:rsidRPr="00654E3B">
        <w:rPr>
          <w:rFonts w:cs="Times New Roman"/>
          <w:lang w:eastAsia="hr-HR"/>
        </w:rPr>
        <w:t xml:space="preserve"> uvažavajući nužnost ostavljanja</w:t>
      </w:r>
      <w:r w:rsidR="00256EC7" w:rsidRPr="00654E3B">
        <w:rPr>
          <w:rFonts w:cs="Times New Roman"/>
          <w:lang w:eastAsia="hr-HR"/>
        </w:rPr>
        <w:t xml:space="preserve"> </w:t>
      </w:r>
      <w:r w:rsidRPr="00654E3B">
        <w:rPr>
          <w:rFonts w:cs="Times New Roman"/>
          <w:lang w:eastAsia="hr-HR"/>
        </w:rPr>
        <w:t xml:space="preserve">i unošenja ratarske biomase u tlo, radi povećanja sadržaja organske tvari u tlu, odnosno održavanja </w:t>
      </w:r>
      <w:r w:rsidR="000B4934" w:rsidRPr="00654E3B">
        <w:rPr>
          <w:rFonts w:cs="Times New Roman"/>
          <w:lang w:eastAsia="hr-HR"/>
        </w:rPr>
        <w:t xml:space="preserve">same </w:t>
      </w:r>
      <w:r w:rsidRPr="00654E3B">
        <w:rPr>
          <w:rFonts w:cs="Times New Roman"/>
          <w:lang w:eastAsia="hr-HR"/>
        </w:rPr>
        <w:t>plodnosti tla</w:t>
      </w:r>
      <w:r w:rsidR="00EF0BEB" w:rsidRPr="00654E3B">
        <w:rPr>
          <w:rFonts w:cs="Times New Roman"/>
          <w:lang w:eastAsia="hr-HR"/>
        </w:rPr>
        <w:t>.</w:t>
      </w:r>
    </w:p>
    <w:p w:rsidR="007D4A93" w:rsidRPr="00654E3B" w:rsidRDefault="00EF0BE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t xml:space="preserve">Izraditi studiju mogućnosti sadnje brzorastućih </w:t>
      </w:r>
      <w:r w:rsidR="00FD4068" w:rsidRPr="00654E3B">
        <w:rPr>
          <w:rFonts w:cs="Times New Roman"/>
          <w:lang w:eastAsia="hr-HR"/>
        </w:rPr>
        <w:t xml:space="preserve">vrsta </w:t>
      </w:r>
      <w:r w:rsidRPr="00654E3B">
        <w:rPr>
          <w:rFonts w:cs="Times New Roman"/>
          <w:lang w:eastAsia="hr-HR"/>
        </w:rPr>
        <w:t>i potaknuti nekoliko pilot projekata.</w:t>
      </w:r>
    </w:p>
    <w:p w:rsidR="007D4A93" w:rsidRPr="00654E3B" w:rsidRDefault="00F454A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t>Treba prioritetno poticati i provoditi mjere za smanjenje količina otpada od hrane</w:t>
      </w:r>
      <w:r w:rsidR="00EF0BEB" w:rsidRPr="00654E3B">
        <w:rPr>
          <w:rFonts w:cs="Times New Roman"/>
          <w:lang w:eastAsia="hr-HR"/>
        </w:rPr>
        <w:t>.</w:t>
      </w:r>
    </w:p>
    <w:p w:rsidR="007D4A93" w:rsidRPr="00654E3B" w:rsidRDefault="00EF0BE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t xml:space="preserve">Potrebno je razraditi i predložiti modele za poticanje inovativnih integriranih projekata, poljoprivrede, energetike i proizvodnje hrane. </w:t>
      </w:r>
    </w:p>
    <w:p w:rsidR="007D4A93" w:rsidRPr="00654E3B" w:rsidRDefault="00EF0BEB" w:rsidP="000C6795">
      <w:pPr>
        <w:pStyle w:val="ListParagraph"/>
        <w:numPr>
          <w:ilvl w:val="0"/>
          <w:numId w:val="45"/>
        </w:numPr>
        <w:spacing w:line="240" w:lineRule="auto"/>
        <w:ind w:left="714" w:hanging="357"/>
        <w:rPr>
          <w:rFonts w:cs="Times New Roman"/>
          <w:lang w:eastAsia="hr-HR"/>
        </w:rPr>
      </w:pPr>
      <w:r w:rsidRPr="00654E3B">
        <w:rPr>
          <w:rFonts w:cs="Times New Roman"/>
          <w:lang w:eastAsia="hr-HR"/>
        </w:rPr>
        <w:t>Potrebno je analizirati mogućnosti za korištenje pročišćenih otpadnih voda za navodnjavanje poljoprivrednih površina.</w:t>
      </w:r>
    </w:p>
    <w:p w:rsidR="007D4A93" w:rsidRPr="00654E3B" w:rsidRDefault="00EF0BEB" w:rsidP="00C05AE6">
      <w:pPr>
        <w:pStyle w:val="ListParagraph"/>
        <w:numPr>
          <w:ilvl w:val="0"/>
          <w:numId w:val="45"/>
        </w:numPr>
        <w:spacing w:after="0" w:line="240" w:lineRule="auto"/>
        <w:ind w:left="714" w:hanging="357"/>
        <w:rPr>
          <w:rFonts w:cs="Times New Roman"/>
          <w:lang w:eastAsia="hr-HR"/>
        </w:rPr>
      </w:pPr>
      <w:r w:rsidRPr="00654E3B">
        <w:rPr>
          <w:rFonts w:cs="Times New Roman"/>
          <w:lang w:eastAsia="hr-HR"/>
        </w:rPr>
        <w:t>Provedba mjera iz Programa ruralnog razvoja Republike Hrvatske za razdoblje 2014. – 2020. godine, novo programsko razdoblje i donošenje „</w:t>
      </w:r>
      <w:r w:rsidR="00B36E78" w:rsidRPr="00654E3B">
        <w:rPr>
          <w:rFonts w:cs="Times New Roman"/>
          <w:lang w:eastAsia="hr-HR"/>
        </w:rPr>
        <w:t>S</w:t>
      </w:r>
      <w:r w:rsidRPr="00654E3B">
        <w:rPr>
          <w:rFonts w:cs="Times New Roman"/>
          <w:lang w:eastAsia="hr-HR"/>
        </w:rPr>
        <w:t xml:space="preserve">trategije poljoprivrede </w:t>
      </w:r>
      <w:r w:rsidR="00107DAF" w:rsidRPr="00654E3B">
        <w:rPr>
          <w:rFonts w:cs="Times New Roman"/>
          <w:lang w:eastAsia="hr-HR"/>
        </w:rPr>
        <w:t xml:space="preserve">za razdoblje </w:t>
      </w:r>
      <w:r w:rsidR="00B36E78" w:rsidRPr="00654E3B">
        <w:rPr>
          <w:rFonts w:cs="Times New Roman"/>
          <w:lang w:eastAsia="hr-HR"/>
        </w:rPr>
        <w:t xml:space="preserve">do 2030. </w:t>
      </w:r>
      <w:r w:rsidRPr="00654E3B">
        <w:rPr>
          <w:rFonts w:cs="Times New Roman"/>
          <w:lang w:eastAsia="hr-HR"/>
        </w:rPr>
        <w:t>”</w:t>
      </w:r>
      <w:r w:rsidR="000B4934" w:rsidRPr="00654E3B">
        <w:rPr>
          <w:rFonts w:cs="Times New Roman"/>
          <w:lang w:eastAsia="hr-HR"/>
        </w:rPr>
        <w:t>,</w:t>
      </w:r>
      <w:r w:rsidRPr="00654E3B">
        <w:rPr>
          <w:rFonts w:cs="Times New Roman"/>
          <w:lang w:eastAsia="hr-HR"/>
        </w:rPr>
        <w:t xml:space="preserve"> definirati će ciljeve i smjernice djelovanja poljoprivredne politike, dok će programskim i planskim dokumentima iz područja ribarstva i akvakulture za razdoblje nakon 2020.</w:t>
      </w:r>
      <w:r w:rsidR="000B4934" w:rsidRPr="00654E3B">
        <w:rPr>
          <w:rFonts w:cs="Times New Roman"/>
          <w:lang w:eastAsia="hr-HR"/>
        </w:rPr>
        <w:t xml:space="preserve"> godine,</w:t>
      </w:r>
      <w:r w:rsidRPr="00654E3B">
        <w:rPr>
          <w:rFonts w:cs="Times New Roman"/>
          <w:lang w:eastAsia="hr-HR"/>
        </w:rPr>
        <w:t xml:space="preserve"> biti definirani daljnji ciljevi i prioriteti razvoja sektora ribarstva i akvakulture. </w:t>
      </w:r>
    </w:p>
    <w:p w:rsidR="007D4A93" w:rsidRPr="00654E3B" w:rsidRDefault="00EE7011" w:rsidP="00C05AE6">
      <w:pPr>
        <w:pStyle w:val="ListParagraph"/>
        <w:numPr>
          <w:ilvl w:val="0"/>
          <w:numId w:val="45"/>
        </w:numPr>
        <w:spacing w:after="0" w:line="240" w:lineRule="auto"/>
        <w:ind w:left="714" w:hanging="357"/>
        <w:rPr>
          <w:rFonts w:cs="Times New Roman"/>
          <w:lang w:eastAsia="hr-HR"/>
        </w:rPr>
      </w:pPr>
      <w:r w:rsidRPr="00654E3B">
        <w:rPr>
          <w:rFonts w:cs="Times New Roman"/>
          <w:lang w:eastAsia="hr-HR"/>
        </w:rPr>
        <w:t>Izgradnja sustava odvodnje, navodnjavanja te zaštite od prirodnih nepogoda na najmanje 40</w:t>
      </w:r>
      <w:r w:rsidR="00060992" w:rsidRPr="00654E3B">
        <w:rPr>
          <w:rFonts w:cs="Times New Roman"/>
          <w:lang w:eastAsia="hr-HR"/>
        </w:rPr>
        <w:t xml:space="preserve"> %</w:t>
      </w:r>
      <w:r w:rsidRPr="00654E3B">
        <w:rPr>
          <w:rFonts w:cs="Times New Roman"/>
          <w:lang w:eastAsia="hr-HR"/>
        </w:rPr>
        <w:t xml:space="preserve"> poljoprivrednih površina što će utjecati na emisije </w:t>
      </w:r>
      <w:r w:rsidR="00EF0BEB" w:rsidRPr="00654E3B">
        <w:rPr>
          <w:rFonts w:cs="Times New Roman"/>
          <w:lang w:eastAsia="hr-HR"/>
        </w:rPr>
        <w:t>N</w:t>
      </w:r>
      <w:r w:rsidR="00EF0BEB" w:rsidRPr="00654E3B">
        <w:rPr>
          <w:rFonts w:cs="Times New Roman"/>
          <w:vertAlign w:val="subscript"/>
          <w:lang w:eastAsia="hr-HR"/>
        </w:rPr>
        <w:t>2</w:t>
      </w:r>
      <w:r w:rsidR="00EF0BEB" w:rsidRPr="00654E3B">
        <w:rPr>
          <w:rFonts w:cs="Times New Roman"/>
          <w:lang w:eastAsia="hr-HR"/>
        </w:rPr>
        <w:t xml:space="preserve">O. </w:t>
      </w:r>
    </w:p>
    <w:p w:rsidR="007D4A93" w:rsidRPr="00654E3B" w:rsidRDefault="00EF0BEB" w:rsidP="00C05AE6">
      <w:pPr>
        <w:pStyle w:val="ListParagraph"/>
        <w:numPr>
          <w:ilvl w:val="0"/>
          <w:numId w:val="45"/>
        </w:numPr>
        <w:spacing w:after="0" w:line="240" w:lineRule="auto"/>
        <w:ind w:left="714" w:hanging="357"/>
        <w:rPr>
          <w:rFonts w:cs="Times New Roman"/>
          <w:lang w:eastAsia="hr-HR"/>
        </w:rPr>
      </w:pPr>
      <w:r w:rsidRPr="00654E3B">
        <w:rPr>
          <w:rFonts w:cs="Times New Roman"/>
          <w:lang w:eastAsia="hr-HR"/>
        </w:rPr>
        <w:t>Povećanje udjela sporodjelujućih gnojiva na 10</w:t>
      </w:r>
      <w:r w:rsidR="00060992" w:rsidRPr="00654E3B">
        <w:rPr>
          <w:rFonts w:cs="Times New Roman"/>
          <w:lang w:eastAsia="hr-HR"/>
        </w:rPr>
        <w:t xml:space="preserve"> %</w:t>
      </w:r>
      <w:r w:rsidRPr="00654E3B">
        <w:rPr>
          <w:rFonts w:cs="Times New Roman"/>
          <w:lang w:eastAsia="hr-HR"/>
        </w:rPr>
        <w:t xml:space="preserve"> u ukupnom utrošku mineralnih gnojiva. </w:t>
      </w:r>
    </w:p>
    <w:p w:rsidR="007D4A93" w:rsidRPr="00654E3B" w:rsidRDefault="00EF0BEB" w:rsidP="00C05AE6">
      <w:pPr>
        <w:numPr>
          <w:ilvl w:val="0"/>
          <w:numId w:val="45"/>
        </w:numPr>
        <w:spacing w:after="0" w:line="240" w:lineRule="auto"/>
        <w:ind w:left="714" w:hanging="357"/>
        <w:rPr>
          <w:rFonts w:cs="Times New Roman"/>
          <w:lang w:eastAsia="hr-HR"/>
        </w:rPr>
      </w:pPr>
      <w:r w:rsidRPr="00654E3B">
        <w:rPr>
          <w:rFonts w:cs="Times New Roman"/>
          <w:lang w:eastAsia="hr-HR"/>
        </w:rPr>
        <w:t xml:space="preserve">Provedba nacionalnih istraživanja s ciljem definiranja stvarnih potencijala za povećavanje </w:t>
      </w:r>
      <w:r w:rsidR="00BF4CA8" w:rsidRPr="00654E3B">
        <w:rPr>
          <w:rFonts w:cs="Times New Roman"/>
          <w:lang w:eastAsia="hr-HR"/>
        </w:rPr>
        <w:t>ponor</w:t>
      </w:r>
      <w:r w:rsidRPr="00654E3B">
        <w:rPr>
          <w:rFonts w:cs="Times New Roman"/>
          <w:lang w:eastAsia="hr-HR"/>
        </w:rPr>
        <w:t xml:space="preserve">a ugljika u poljoprivrednim tlima, kroz sekvestraciju organskog ugljika u tlu, posebno kod kombinacija sustava minimalne obrade i pokrovnih međuusjeva kod uzgoja žitarica, unaprjeđenja </w:t>
      </w:r>
      <w:r w:rsidR="00B330AE" w:rsidRPr="00654E3B">
        <w:rPr>
          <w:rFonts w:cs="Times New Roman"/>
          <w:lang w:eastAsia="hr-HR"/>
        </w:rPr>
        <w:t xml:space="preserve">primjene </w:t>
      </w:r>
      <w:r w:rsidRPr="00654E3B">
        <w:rPr>
          <w:rFonts w:cs="Times New Roman"/>
          <w:lang w:eastAsia="hr-HR"/>
        </w:rPr>
        <w:t>organskih gnojiva i agrošumarstva.</w:t>
      </w:r>
    </w:p>
    <w:p w:rsidR="007D4A93" w:rsidRPr="00654E3B" w:rsidRDefault="00EF0BEB" w:rsidP="000C6795">
      <w:pPr>
        <w:numPr>
          <w:ilvl w:val="0"/>
          <w:numId w:val="45"/>
        </w:numPr>
        <w:spacing w:line="240" w:lineRule="auto"/>
        <w:ind w:left="714" w:hanging="357"/>
        <w:rPr>
          <w:rFonts w:cs="Times New Roman"/>
          <w:lang w:eastAsia="hr-HR"/>
        </w:rPr>
      </w:pPr>
      <w:r w:rsidRPr="00654E3B">
        <w:rPr>
          <w:rFonts w:cs="Times New Roman"/>
          <w:lang w:eastAsia="hr-HR"/>
        </w:rPr>
        <w:t xml:space="preserve">Nacionalna istraživanja novih sorti </w:t>
      </w:r>
      <w:r w:rsidR="00B330AE" w:rsidRPr="00654E3B">
        <w:rPr>
          <w:rFonts w:cs="Times New Roman"/>
          <w:lang w:eastAsia="hr-HR"/>
        </w:rPr>
        <w:t xml:space="preserve">koje </w:t>
      </w:r>
      <w:r w:rsidRPr="00654E3B">
        <w:rPr>
          <w:rFonts w:cs="Times New Roman"/>
          <w:lang w:eastAsia="hr-HR"/>
        </w:rPr>
        <w:t xml:space="preserve">su </w:t>
      </w:r>
      <w:r w:rsidR="00B330AE" w:rsidRPr="00654E3B">
        <w:rPr>
          <w:rFonts w:cs="Times New Roman"/>
          <w:lang w:eastAsia="hr-HR"/>
        </w:rPr>
        <w:t xml:space="preserve">otpornije </w:t>
      </w:r>
      <w:r w:rsidRPr="00654E3B">
        <w:rPr>
          <w:rFonts w:cs="Times New Roman"/>
          <w:lang w:eastAsia="hr-HR"/>
        </w:rPr>
        <w:t>na sušu ili bolesti</w:t>
      </w:r>
      <w:r w:rsidR="00B330AE" w:rsidRPr="00654E3B">
        <w:rPr>
          <w:rFonts w:cs="Times New Roman"/>
          <w:lang w:eastAsia="hr-HR"/>
        </w:rPr>
        <w:t>,</w:t>
      </w:r>
      <w:r w:rsidRPr="00654E3B">
        <w:rPr>
          <w:rFonts w:cs="Times New Roman"/>
          <w:lang w:eastAsia="hr-HR"/>
        </w:rPr>
        <w:t xml:space="preserve"> odnosno imaju manji ukupni ugljični otisak te poticaji za prelazak i prilagodbe cijelog proizvodnog lanca na proizvodnju novih poljoprivrednih </w:t>
      </w:r>
      <w:r w:rsidR="00FD4068" w:rsidRPr="00654E3B">
        <w:rPr>
          <w:rFonts w:cs="Times New Roman"/>
          <w:lang w:eastAsia="hr-HR"/>
        </w:rPr>
        <w:t>vrsta</w:t>
      </w:r>
      <w:r w:rsidRPr="00654E3B">
        <w:rPr>
          <w:rFonts w:cs="Times New Roman"/>
          <w:lang w:eastAsia="hr-HR"/>
        </w:rPr>
        <w:t xml:space="preserve">. Ovo uključuje i ciljane </w:t>
      </w:r>
      <w:r w:rsidR="00FD4068" w:rsidRPr="00654E3B">
        <w:rPr>
          <w:rFonts w:cs="Times New Roman"/>
          <w:lang w:eastAsia="hr-HR"/>
        </w:rPr>
        <w:t xml:space="preserve">vrste </w:t>
      </w:r>
      <w:r w:rsidRPr="00654E3B">
        <w:rPr>
          <w:rFonts w:cs="Times New Roman"/>
          <w:lang w:eastAsia="hr-HR"/>
        </w:rPr>
        <w:t>za proizvodnju biomase za energetska postrojenja</w:t>
      </w:r>
      <w:r w:rsidR="00B330AE" w:rsidRPr="00654E3B">
        <w:rPr>
          <w:rFonts w:cs="Times New Roman"/>
          <w:lang w:eastAsia="hr-HR"/>
        </w:rPr>
        <w:t>.</w:t>
      </w:r>
    </w:p>
    <w:p w:rsidR="007D4A93" w:rsidRPr="00654E3B" w:rsidRDefault="00EF0BEB" w:rsidP="00C05AE6">
      <w:pPr>
        <w:numPr>
          <w:ilvl w:val="0"/>
          <w:numId w:val="45"/>
        </w:numPr>
        <w:spacing w:after="0" w:line="240" w:lineRule="auto"/>
        <w:ind w:left="714" w:hanging="357"/>
        <w:rPr>
          <w:rFonts w:cs="Times New Roman"/>
          <w:lang w:eastAsia="hr-HR"/>
        </w:rPr>
      </w:pPr>
      <w:r w:rsidRPr="00654E3B">
        <w:rPr>
          <w:rFonts w:cs="Times New Roman"/>
          <w:lang w:eastAsia="hr-HR"/>
        </w:rPr>
        <w:t>Regulirati primjenu gnojiva baziranu na analizama tla koje su mjerljive</w:t>
      </w:r>
      <w:r w:rsidR="00B330AE" w:rsidRPr="00654E3B">
        <w:rPr>
          <w:rFonts w:cs="Times New Roman"/>
          <w:lang w:eastAsia="hr-HR"/>
        </w:rPr>
        <w:t>,</w:t>
      </w:r>
      <w:r w:rsidRPr="00654E3B">
        <w:rPr>
          <w:rFonts w:cs="Times New Roman"/>
          <w:lang w:eastAsia="hr-HR"/>
        </w:rPr>
        <w:t xml:space="preserve"> te razvijati tzv. </w:t>
      </w:r>
      <w:r w:rsidR="00B330AE" w:rsidRPr="00654E3B">
        <w:rPr>
          <w:rFonts w:cs="Times New Roman"/>
          <w:lang w:eastAsia="hr-HR"/>
        </w:rPr>
        <w:t xml:space="preserve">kalkulatore </w:t>
      </w:r>
      <w:r w:rsidRPr="00654E3B">
        <w:rPr>
          <w:rFonts w:cs="Times New Roman"/>
          <w:lang w:eastAsia="hr-HR"/>
        </w:rPr>
        <w:t>gnojidbe koji će ovisno o opskrbljenosti tla definirati potrebne količine, načine primjene i vrste gnojiva</w:t>
      </w:r>
      <w:r w:rsidR="00B330AE" w:rsidRPr="00654E3B">
        <w:rPr>
          <w:rFonts w:cs="Times New Roman"/>
          <w:lang w:eastAsia="hr-HR"/>
        </w:rPr>
        <w:t>.</w:t>
      </w:r>
    </w:p>
    <w:p w:rsidR="007D4A93" w:rsidRPr="00654E3B" w:rsidRDefault="00EF0BEB" w:rsidP="00C05AE6">
      <w:pPr>
        <w:numPr>
          <w:ilvl w:val="0"/>
          <w:numId w:val="45"/>
        </w:numPr>
        <w:spacing w:after="0" w:line="240" w:lineRule="auto"/>
        <w:ind w:left="714" w:hanging="357"/>
        <w:rPr>
          <w:rFonts w:cs="Times New Roman"/>
          <w:lang w:eastAsia="hr-HR"/>
        </w:rPr>
      </w:pPr>
      <w:r w:rsidRPr="00654E3B">
        <w:rPr>
          <w:rFonts w:cs="Times New Roman"/>
          <w:lang w:eastAsia="hr-HR"/>
        </w:rPr>
        <w:t>Poticati projekte kojima se unaprjeđuju sustavi zaštite poljoprivrednog zemljišta kao neobnovljivog prirodnog resursa Republike Hrvatske</w:t>
      </w:r>
      <w:r w:rsidR="00B330AE" w:rsidRPr="00654E3B">
        <w:rPr>
          <w:rFonts w:cs="Times New Roman"/>
          <w:lang w:eastAsia="hr-HR"/>
        </w:rPr>
        <w:t>.</w:t>
      </w:r>
    </w:p>
    <w:p w:rsidR="007D4A93" w:rsidRPr="00654E3B" w:rsidRDefault="00EF0BEB" w:rsidP="000C6795">
      <w:pPr>
        <w:numPr>
          <w:ilvl w:val="0"/>
          <w:numId w:val="45"/>
        </w:numPr>
        <w:spacing w:line="240" w:lineRule="auto"/>
        <w:ind w:left="714" w:hanging="357"/>
        <w:rPr>
          <w:rFonts w:cs="Times New Roman"/>
          <w:lang w:eastAsia="hr-HR"/>
        </w:rPr>
      </w:pPr>
      <w:r w:rsidRPr="00654E3B">
        <w:rPr>
          <w:rFonts w:cs="Times New Roman"/>
          <w:lang w:eastAsia="hr-HR"/>
        </w:rPr>
        <w:t xml:space="preserve">Potrebno je poticati projekte razvoja informatičkih tehnologija koje se </w:t>
      </w:r>
      <w:r w:rsidR="00CD4778" w:rsidRPr="00654E3B">
        <w:rPr>
          <w:rFonts w:cs="Times New Roman"/>
          <w:lang w:eastAsia="hr-HR"/>
        </w:rPr>
        <w:t>primjenjuju</w:t>
      </w:r>
      <w:r w:rsidRPr="00654E3B">
        <w:rPr>
          <w:rFonts w:cs="Times New Roman"/>
          <w:lang w:eastAsia="hr-HR"/>
        </w:rPr>
        <w:t xml:space="preserve"> u preciznoj poljoprivredi i istraživanja vezano za njihovu primjenu u praksi (upotreba dronova, pametne mehanizacije, automatske meteorološke postaje i sl</w:t>
      </w:r>
      <w:r w:rsidR="00BB5DB6" w:rsidRPr="00654E3B">
        <w:rPr>
          <w:rFonts w:cs="Times New Roman"/>
          <w:lang w:eastAsia="hr-HR"/>
        </w:rPr>
        <w:t>.</w:t>
      </w:r>
      <w:r w:rsidRPr="00654E3B">
        <w:rPr>
          <w:rFonts w:cs="Times New Roman"/>
          <w:lang w:eastAsia="hr-HR"/>
        </w:rPr>
        <w:t>)</w:t>
      </w:r>
      <w:r w:rsidR="00BB5DB6" w:rsidRPr="00654E3B">
        <w:rPr>
          <w:rFonts w:cs="Times New Roman"/>
          <w:lang w:eastAsia="hr-HR"/>
        </w:rPr>
        <w:t>.</w:t>
      </w:r>
      <w:r w:rsidRPr="00654E3B">
        <w:rPr>
          <w:rFonts w:cs="Times New Roman"/>
          <w:lang w:eastAsia="hr-HR"/>
        </w:rPr>
        <w:t xml:space="preserve"> </w:t>
      </w:r>
    </w:p>
    <w:p w:rsidR="007D4A93" w:rsidRPr="00654E3B" w:rsidRDefault="00EF0BEB">
      <w:pPr>
        <w:rPr>
          <w:rFonts w:cs="Times New Roman"/>
          <w:u w:val="single"/>
          <w:lang w:eastAsia="hr-HR"/>
        </w:rPr>
      </w:pPr>
      <w:r w:rsidRPr="00654E3B">
        <w:rPr>
          <w:rFonts w:cs="Times New Roman"/>
          <w:u w:val="single"/>
          <w:lang w:eastAsia="hr-HR"/>
        </w:rPr>
        <w:t>Do 2050. godine</w:t>
      </w:r>
    </w:p>
    <w:p w:rsidR="007D4A93" w:rsidRPr="00654E3B" w:rsidRDefault="002664F4" w:rsidP="00CF6205">
      <w:pPr>
        <w:pStyle w:val="ListParagraph"/>
        <w:numPr>
          <w:ilvl w:val="0"/>
          <w:numId w:val="44"/>
        </w:numPr>
        <w:spacing w:line="240" w:lineRule="auto"/>
        <w:ind w:left="714" w:hanging="357"/>
        <w:rPr>
          <w:rFonts w:cs="Times New Roman"/>
          <w:lang w:eastAsia="hr-HR"/>
        </w:rPr>
      </w:pPr>
      <w:r w:rsidRPr="00654E3B">
        <w:rPr>
          <w:rFonts w:cs="Times New Roman"/>
          <w:lang w:eastAsia="hr-HR"/>
        </w:rPr>
        <w:t>Optimiziranje primjene organskih i mineralnih gnojiva. Planira se povećanje udjela sporo djelujućih gnojiva od 15</w:t>
      </w:r>
      <w:r w:rsidR="00060992" w:rsidRPr="00654E3B">
        <w:rPr>
          <w:rFonts w:cs="Times New Roman"/>
          <w:lang w:eastAsia="hr-HR"/>
        </w:rPr>
        <w:t xml:space="preserve"> %</w:t>
      </w:r>
      <w:r w:rsidRPr="00654E3B">
        <w:rPr>
          <w:rFonts w:cs="Times New Roman"/>
          <w:lang w:eastAsia="hr-HR"/>
        </w:rPr>
        <w:t xml:space="preserve"> u ukupnom udjelu mineralnih gnojiva kao i povećanje djela novih sorti</w:t>
      </w:r>
      <w:r w:rsidR="00CF6205" w:rsidRPr="00654E3B">
        <w:rPr>
          <w:rFonts w:cs="Times New Roman"/>
          <w:lang w:eastAsia="hr-HR"/>
        </w:rPr>
        <w:t>.</w:t>
      </w:r>
    </w:p>
    <w:p w:rsidR="007D4A93" w:rsidRPr="00654E3B" w:rsidRDefault="00EF0BEB" w:rsidP="000C6795">
      <w:pPr>
        <w:pStyle w:val="ListParagraph"/>
        <w:numPr>
          <w:ilvl w:val="0"/>
          <w:numId w:val="44"/>
        </w:numPr>
        <w:spacing w:line="240" w:lineRule="auto"/>
        <w:ind w:left="714" w:hanging="357"/>
        <w:rPr>
          <w:rFonts w:cs="Times New Roman"/>
          <w:lang w:eastAsia="hr-HR"/>
        </w:rPr>
      </w:pPr>
      <w:r w:rsidRPr="00654E3B">
        <w:rPr>
          <w:rFonts w:cs="Times New Roman"/>
          <w:lang w:eastAsia="hr-HR"/>
        </w:rPr>
        <w:t>Nastavak uvođenja bioplinskih postrojenja na gospodarstvima</w:t>
      </w:r>
      <w:r w:rsidR="00BB5DB6" w:rsidRPr="00654E3B">
        <w:rPr>
          <w:rFonts w:cs="Times New Roman"/>
          <w:lang w:eastAsia="hr-HR"/>
        </w:rPr>
        <w:t>,</w:t>
      </w:r>
      <w:r w:rsidRPr="00654E3B">
        <w:rPr>
          <w:rFonts w:cs="Times New Roman"/>
          <w:lang w:eastAsia="hr-HR"/>
        </w:rPr>
        <w:t xml:space="preserve"> čime bi 30</w:t>
      </w:r>
      <w:r w:rsidR="00060992" w:rsidRPr="00654E3B">
        <w:rPr>
          <w:rFonts w:cs="Times New Roman"/>
          <w:lang w:eastAsia="hr-HR"/>
        </w:rPr>
        <w:t xml:space="preserve"> %</w:t>
      </w:r>
      <w:r w:rsidRPr="00654E3B">
        <w:rPr>
          <w:rFonts w:cs="Times New Roman"/>
          <w:lang w:eastAsia="hr-HR"/>
        </w:rPr>
        <w:t xml:space="preserve"> ostataka primarne biomase svinja, goveda i peradi trebalo biti obrađeno na digestorima.</w:t>
      </w:r>
    </w:p>
    <w:p w:rsidR="007D4A93" w:rsidRPr="00654E3B" w:rsidRDefault="002664F4" w:rsidP="00CF6205">
      <w:pPr>
        <w:pStyle w:val="ListParagraph"/>
        <w:numPr>
          <w:ilvl w:val="0"/>
          <w:numId w:val="44"/>
        </w:numPr>
        <w:spacing w:line="240" w:lineRule="auto"/>
        <w:ind w:left="714" w:hanging="357"/>
        <w:rPr>
          <w:rFonts w:cs="Times New Roman"/>
          <w:lang w:eastAsia="hr-HR"/>
        </w:rPr>
      </w:pPr>
      <w:r w:rsidRPr="00654E3B">
        <w:rPr>
          <w:rFonts w:cs="Times New Roman"/>
          <w:lang w:eastAsia="hr-HR"/>
        </w:rPr>
        <w:t>Planira se izgradnja hidromelioracijskih zahvata i sustava zaštite od prirodnih nepogoda na što većem broju poljoprivrednih površina.</w:t>
      </w:r>
    </w:p>
    <w:p w:rsidR="007D4A93" w:rsidRPr="00654E3B" w:rsidRDefault="00EF0BEB" w:rsidP="000C6795">
      <w:pPr>
        <w:pStyle w:val="ListParagraph"/>
        <w:numPr>
          <w:ilvl w:val="0"/>
          <w:numId w:val="44"/>
        </w:numPr>
        <w:spacing w:line="240" w:lineRule="auto"/>
        <w:ind w:left="714" w:hanging="357"/>
        <w:rPr>
          <w:rFonts w:cs="Times New Roman"/>
          <w:szCs w:val="24"/>
          <w:lang w:eastAsia="hr-HR"/>
        </w:rPr>
      </w:pPr>
      <w:r w:rsidRPr="00654E3B">
        <w:rPr>
          <w:rFonts w:cs="Times New Roman"/>
          <w:szCs w:val="24"/>
          <w:lang w:eastAsia="hr-HR"/>
        </w:rPr>
        <w:t>Očekuje se da će povećanje produktivnosti i strukturalne promjene u poljoprivredi</w:t>
      </w:r>
      <w:r w:rsidR="00BB5DB6" w:rsidRPr="00654E3B">
        <w:rPr>
          <w:rFonts w:cs="Times New Roman"/>
          <w:szCs w:val="24"/>
          <w:lang w:eastAsia="hr-HR"/>
        </w:rPr>
        <w:t>,</w:t>
      </w:r>
      <w:r w:rsidRPr="00654E3B">
        <w:rPr>
          <w:rFonts w:cs="Times New Roman"/>
          <w:szCs w:val="24"/>
          <w:lang w:eastAsia="hr-HR"/>
        </w:rPr>
        <w:t xml:space="preserve"> omogućiti primjenu novih mjera koje danas još nisu u primjeni.</w:t>
      </w:r>
    </w:p>
    <w:p w:rsidR="007D4A93" w:rsidRPr="00654E3B" w:rsidRDefault="00EF0BEB" w:rsidP="000C6795">
      <w:pPr>
        <w:pStyle w:val="ListParagraph"/>
        <w:numPr>
          <w:ilvl w:val="0"/>
          <w:numId w:val="44"/>
        </w:numPr>
        <w:spacing w:line="240" w:lineRule="auto"/>
        <w:ind w:left="714" w:hanging="357"/>
        <w:rPr>
          <w:rFonts w:cs="Times New Roman"/>
          <w:szCs w:val="24"/>
          <w:lang w:eastAsia="hr-HR"/>
        </w:rPr>
      </w:pPr>
      <w:r w:rsidRPr="00654E3B">
        <w:rPr>
          <w:rFonts w:cs="Times New Roman"/>
          <w:szCs w:val="24"/>
          <w:lang w:eastAsia="hr-HR"/>
        </w:rPr>
        <w:t>Povezivanje mjera ublažavanja emisije stakleničkih plinova s mjerama prilagodbe klimatskim promjenama</w:t>
      </w:r>
      <w:r w:rsidR="00CF6205" w:rsidRPr="00654E3B">
        <w:rPr>
          <w:rFonts w:cs="Times New Roman"/>
          <w:szCs w:val="24"/>
          <w:lang w:eastAsia="hr-HR"/>
        </w:rPr>
        <w:t>.</w:t>
      </w:r>
    </w:p>
    <w:p w:rsidR="007D4A93" w:rsidRPr="00654E3B" w:rsidRDefault="00EF0BEB" w:rsidP="000C6795">
      <w:pPr>
        <w:pStyle w:val="ListParagraph"/>
        <w:numPr>
          <w:ilvl w:val="0"/>
          <w:numId w:val="44"/>
        </w:numPr>
        <w:spacing w:line="240" w:lineRule="auto"/>
        <w:ind w:left="714" w:hanging="357"/>
        <w:rPr>
          <w:rFonts w:cs="Times New Roman"/>
          <w:szCs w:val="24"/>
          <w:lang w:eastAsia="hr-HR"/>
        </w:rPr>
      </w:pPr>
      <w:r w:rsidRPr="00654E3B">
        <w:rPr>
          <w:rFonts w:cs="Times New Roman"/>
          <w:szCs w:val="24"/>
          <w:lang w:eastAsia="hr-HR"/>
        </w:rPr>
        <w:t xml:space="preserve">Mjere zajedničke poljoprivredne prakse trebaju biti valorizirane kroz doprinos smanjenju emisije i povećanju </w:t>
      </w:r>
      <w:r w:rsidR="00BF4CA8" w:rsidRPr="00654E3B">
        <w:rPr>
          <w:rFonts w:cs="Times New Roman"/>
          <w:szCs w:val="24"/>
          <w:lang w:eastAsia="hr-HR"/>
        </w:rPr>
        <w:t>ponor</w:t>
      </w:r>
      <w:r w:rsidRPr="00654E3B">
        <w:rPr>
          <w:rFonts w:cs="Times New Roman"/>
          <w:szCs w:val="24"/>
          <w:lang w:eastAsia="hr-HR"/>
        </w:rPr>
        <w:t>a emisija u okviru LULUCF sektora</w:t>
      </w:r>
      <w:r w:rsidR="00CF6205" w:rsidRPr="00654E3B">
        <w:rPr>
          <w:rFonts w:cs="Times New Roman"/>
          <w:szCs w:val="24"/>
          <w:lang w:eastAsia="hr-HR"/>
        </w:rPr>
        <w:t>.</w:t>
      </w:r>
    </w:p>
    <w:p w:rsidR="004909E9" w:rsidRPr="00654E3B" w:rsidRDefault="004909E9" w:rsidP="004909E9">
      <w:pPr>
        <w:pStyle w:val="ListParagraph"/>
        <w:spacing w:line="240" w:lineRule="auto"/>
        <w:ind w:left="714"/>
        <w:rPr>
          <w:rFonts w:cs="Times New Roman"/>
          <w:szCs w:val="24"/>
          <w:lang w:eastAsia="hr-HR"/>
        </w:rPr>
      </w:pPr>
    </w:p>
    <w:p w:rsidR="007D4A93" w:rsidRPr="00654E3B" w:rsidRDefault="00EF0BEB">
      <w:pPr>
        <w:pStyle w:val="Heading2"/>
        <w:rPr>
          <w:rFonts w:ascii="Times New Roman" w:hAnsi="Times New Roman" w:cs="Times New Roman"/>
        </w:rPr>
      </w:pPr>
      <w:bookmarkStart w:id="270" w:name="_Toc20841310"/>
      <w:bookmarkStart w:id="271" w:name="_Toc20841416"/>
      <w:bookmarkStart w:id="272" w:name="_Toc69810188"/>
      <w:r w:rsidRPr="00654E3B">
        <w:rPr>
          <w:rFonts w:ascii="Times New Roman" w:hAnsi="Times New Roman" w:cs="Times New Roman"/>
        </w:rPr>
        <w:lastRenderedPageBreak/>
        <w:t xml:space="preserve">6.7. </w:t>
      </w:r>
      <w:r w:rsidRPr="00654E3B">
        <w:rPr>
          <w:rFonts w:ascii="Times New Roman" w:hAnsi="Times New Roman" w:cs="Times New Roman"/>
        </w:rPr>
        <w:tab/>
      </w:r>
      <w:bookmarkEnd w:id="270"/>
      <w:bookmarkEnd w:id="271"/>
      <w:r w:rsidRPr="00654E3B">
        <w:rPr>
          <w:rFonts w:ascii="Times New Roman" w:hAnsi="Times New Roman" w:cs="Times New Roman"/>
        </w:rPr>
        <w:t>OTPAD</w:t>
      </w:r>
      <w:bookmarkEnd w:id="272"/>
    </w:p>
    <w:p w:rsidR="007D4A93" w:rsidRPr="00654E3B" w:rsidRDefault="00EF0BEB" w:rsidP="009F6651">
      <w:pPr>
        <w:pStyle w:val="Heading3"/>
      </w:pPr>
      <w:bookmarkStart w:id="273" w:name="_Toc69810189"/>
      <w:r w:rsidRPr="00654E3B">
        <w:t>6.7.1. Emisije stakleničkih plinova</w:t>
      </w:r>
      <w:bookmarkEnd w:id="273"/>
    </w:p>
    <w:p w:rsidR="007D4A93" w:rsidRPr="00654E3B" w:rsidRDefault="007D4A93">
      <w:pPr>
        <w:rPr>
          <w:rFonts w:cs="Times New Roman"/>
        </w:rPr>
      </w:pPr>
    </w:p>
    <w:p w:rsidR="007D4A93" w:rsidRPr="00654E3B" w:rsidRDefault="00EF0BEB">
      <w:pPr>
        <w:spacing w:line="240" w:lineRule="auto"/>
        <w:rPr>
          <w:rFonts w:cs="Times New Roman"/>
        </w:rPr>
      </w:pPr>
      <w:bookmarkStart w:id="274" w:name="_Hlk36802462"/>
      <w:r w:rsidRPr="00654E3B">
        <w:rPr>
          <w:rFonts w:cs="Times New Roman"/>
        </w:rPr>
        <w:t>Sektor otpad</w:t>
      </w:r>
      <w:r w:rsidR="00BB5DB6" w:rsidRPr="00654E3B">
        <w:rPr>
          <w:rFonts w:cs="Times New Roman"/>
        </w:rPr>
        <w:t>a</w:t>
      </w:r>
      <w:r w:rsidRPr="00654E3B">
        <w:rPr>
          <w:rFonts w:cs="Times New Roman"/>
        </w:rPr>
        <w:t xml:space="preserve"> sudjeluje u ukupnoj emisiji stakleničkih plinova Republike Hrvatske s 8,6</w:t>
      </w:r>
      <w:r w:rsidR="00060992" w:rsidRPr="00654E3B">
        <w:rPr>
          <w:rFonts w:cs="Times New Roman"/>
        </w:rPr>
        <w:t xml:space="preserve"> %</w:t>
      </w:r>
      <w:r w:rsidRPr="00654E3B">
        <w:rPr>
          <w:rFonts w:cs="Times New Roman"/>
        </w:rPr>
        <w:t xml:space="preserve"> u 2018. godini, od čega 99,6</w:t>
      </w:r>
      <w:r w:rsidR="00060992" w:rsidRPr="00654E3B">
        <w:rPr>
          <w:rFonts w:cs="Times New Roman"/>
        </w:rPr>
        <w:t xml:space="preserve"> %</w:t>
      </w:r>
      <w:r w:rsidRPr="00654E3B">
        <w:rPr>
          <w:rFonts w:cs="Times New Roman"/>
        </w:rPr>
        <w:t xml:space="preserve"> potječe iz ključnih izvora emisije: odlaganja krutog otpada i upravljanja otpadnim vodama. Od toga se 86,9</w:t>
      </w:r>
      <w:r w:rsidR="00060992" w:rsidRPr="00654E3B">
        <w:rPr>
          <w:rFonts w:cs="Times New Roman"/>
        </w:rPr>
        <w:t xml:space="preserve"> %</w:t>
      </w:r>
      <w:r w:rsidRPr="00654E3B">
        <w:rPr>
          <w:rFonts w:cs="Times New Roman"/>
        </w:rPr>
        <w:t xml:space="preserve"> emisije odnosi na odlaganje krutog otpada.</w:t>
      </w:r>
      <w:bookmarkEnd w:id="274"/>
    </w:p>
    <w:p w:rsidR="007D4A93" w:rsidRPr="00654E3B" w:rsidRDefault="00B06316">
      <w:pPr>
        <w:spacing w:line="240" w:lineRule="auto"/>
        <w:rPr>
          <w:rFonts w:cs="Times New Roman"/>
        </w:rPr>
      </w:pPr>
      <w:r w:rsidRPr="00654E3B">
        <w:rPr>
          <w:rFonts w:cs="Times New Roman"/>
        </w:rPr>
        <w:t>U sektoru otpada</w:t>
      </w:r>
      <w:r w:rsidR="00F549A1" w:rsidRPr="00654E3B">
        <w:rPr>
          <w:rFonts w:cs="Times New Roman"/>
        </w:rPr>
        <w:t xml:space="preserve"> je emisija u 2030. godini još uvijek viša u odnosu na 1990. godinu</w:t>
      </w:r>
      <w:r w:rsidRPr="00654E3B">
        <w:rPr>
          <w:rFonts w:cs="Times New Roman"/>
        </w:rPr>
        <w:t>, obzirom da emisije bilježe porast do 2018. godine</w:t>
      </w:r>
      <w:r w:rsidR="00F549A1" w:rsidRPr="00654E3B">
        <w:rPr>
          <w:rFonts w:cs="Times New Roman"/>
        </w:rPr>
        <w:t>.</w:t>
      </w:r>
      <w:r w:rsidRPr="00654E3B">
        <w:rPr>
          <w:rFonts w:cs="Times New Roman"/>
          <w:sz w:val="24"/>
          <w:szCs w:val="24"/>
        </w:rPr>
        <w:t xml:space="preserve"> </w:t>
      </w:r>
      <w:r w:rsidR="00EF0BEB" w:rsidRPr="00654E3B">
        <w:rPr>
          <w:rFonts w:cs="Times New Roman"/>
        </w:rPr>
        <w:t xml:space="preserve">U ovom sektoru se u odnosu na 1990. godinu </w:t>
      </w:r>
      <w:r w:rsidR="00CD4778" w:rsidRPr="00654E3B">
        <w:rPr>
          <w:rFonts w:cs="Times New Roman"/>
        </w:rPr>
        <w:t>bilježi</w:t>
      </w:r>
      <w:r w:rsidR="00EF0BEB" w:rsidRPr="00654E3B">
        <w:rPr>
          <w:rFonts w:cs="Times New Roman"/>
        </w:rPr>
        <w:t xml:space="preserve"> povećanje emisije za 35</w:t>
      </w:r>
      <w:r w:rsidR="00060992" w:rsidRPr="00654E3B">
        <w:rPr>
          <w:rFonts w:cs="Times New Roman"/>
        </w:rPr>
        <w:t xml:space="preserve"> %</w:t>
      </w:r>
      <w:r w:rsidR="00EF0BEB" w:rsidRPr="00654E3B">
        <w:rPr>
          <w:rFonts w:cs="Times New Roman"/>
        </w:rPr>
        <w:t xml:space="preserve"> u 2030. godini. Smanjenje emisije očekuje se tek u 2040. godini (za 7,6</w:t>
      </w:r>
      <w:r w:rsidR="00060992" w:rsidRPr="00654E3B">
        <w:rPr>
          <w:rFonts w:cs="Times New Roman"/>
        </w:rPr>
        <w:t xml:space="preserve"> %</w:t>
      </w:r>
      <w:r w:rsidR="00EF0BEB" w:rsidRPr="00654E3B">
        <w:rPr>
          <w:rFonts w:cs="Times New Roman"/>
        </w:rPr>
        <w:t>). U 2050. godini smanjenje će iznositi 29,4</w:t>
      </w:r>
      <w:r w:rsidR="00060992" w:rsidRPr="00654E3B">
        <w:rPr>
          <w:rFonts w:cs="Times New Roman"/>
        </w:rPr>
        <w:t xml:space="preserve"> %</w:t>
      </w:r>
      <w:r w:rsidR="00EF0BEB" w:rsidRPr="00654E3B">
        <w:rPr>
          <w:rFonts w:cs="Times New Roman"/>
        </w:rPr>
        <w:t xml:space="preserve"> u odnosu na razinu emisije u 1990. godini.</w:t>
      </w:r>
    </w:p>
    <w:p w:rsidR="007D4A93" w:rsidRPr="00654E3B" w:rsidRDefault="00EF0BEB" w:rsidP="009F6651">
      <w:pPr>
        <w:pStyle w:val="Heading3"/>
      </w:pPr>
      <w:bookmarkStart w:id="275" w:name="_Toc69810190"/>
      <w:r w:rsidRPr="00654E3B">
        <w:t>6.7.2. Politike i mjere za niskougljični razvoj</w:t>
      </w:r>
      <w:bookmarkEnd w:id="275"/>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Utjecaj održivog gospodarenja otpadom</w:t>
      </w:r>
    </w:p>
    <w:p w:rsidR="007D4A93" w:rsidRPr="00654E3B" w:rsidRDefault="00EF0BEB">
      <w:pPr>
        <w:rPr>
          <w:rFonts w:cs="Times New Roman"/>
        </w:rPr>
      </w:pPr>
      <w:r w:rsidRPr="00654E3B">
        <w:rPr>
          <w:rFonts w:cs="Times New Roman"/>
        </w:rPr>
        <w:t>Sprječavanjem nastajanja, odvojenim prikupljanjem, recikliranjem i oporabom otpada, količina krutog otpada za odlaganje svesti će se na minimum. Sva odlagališta biti će sanirana, centri za gospodarenje otpadom koristiti će napredne tehnologije kojima se, osim za dobivanje sirovina za materijalnu oporabu, otpad kemijski reciklira čime se dobivaju različiti kemijski spojevi koji se mogu koristiti u industrijskoj proizvodnji (etilen, amonijak i sl.)</w:t>
      </w:r>
      <w:r w:rsidR="00BB5DB6" w:rsidRPr="00654E3B">
        <w:rPr>
          <w:rFonts w:cs="Times New Roman"/>
        </w:rPr>
        <w:t>,</w:t>
      </w:r>
      <w:r w:rsidRPr="00654E3B">
        <w:rPr>
          <w:rFonts w:cs="Times New Roman"/>
        </w:rPr>
        <w:t xml:space="preserve"> kao i različita goriva (vodik, sintetski plin, tekuća goriva). Nova odlagališta biti će uređena na način da je njihov utjecaj na okoliš zanemariv. Uspostava sustava gospodarenja otpadom sukladno načelima kružnog gospodarstva</w:t>
      </w:r>
      <w:r w:rsidR="00BB5DB6" w:rsidRPr="00654E3B">
        <w:rPr>
          <w:rFonts w:cs="Times New Roman"/>
        </w:rPr>
        <w:t>,</w:t>
      </w:r>
      <w:r w:rsidRPr="00654E3B">
        <w:rPr>
          <w:rFonts w:cs="Times New Roman"/>
        </w:rPr>
        <w:t xml:space="preserve"> doprinijeti će resursnoj učinkovitosti s manjim negativnim utjecajem na ljude i okoliš.</w:t>
      </w:r>
    </w:p>
    <w:p w:rsidR="007D4A93" w:rsidRPr="00654E3B" w:rsidRDefault="00EF0BEB">
      <w:pPr>
        <w:rPr>
          <w:rFonts w:cs="Times New Roman"/>
        </w:rPr>
      </w:pPr>
      <w:r w:rsidRPr="00654E3B">
        <w:rPr>
          <w:rFonts w:cs="Times New Roman"/>
        </w:rPr>
        <w:t>Cilj Akcijskog plana EU-a za kružno gospodarstvo je poboljšanje uvjeta za održiviji rast</w:t>
      </w:r>
      <w:r w:rsidR="00BB5DB6" w:rsidRPr="00654E3B">
        <w:rPr>
          <w:rFonts w:cs="Times New Roman"/>
        </w:rPr>
        <w:t>,</w:t>
      </w:r>
      <w:r w:rsidRPr="00654E3B">
        <w:rPr>
          <w:rFonts w:cs="Times New Roman"/>
        </w:rPr>
        <w:t xml:space="preserve"> uz učinkovitije korištenje resursa te uspostavljanje dosljednosti s drugim područjima politike. Akcijski plan obuhvaća brojne teme i mjere, od dizajniranja proizvoda preko potrošnje</w:t>
      </w:r>
      <w:r w:rsidR="00BB5DB6" w:rsidRPr="00654E3B">
        <w:rPr>
          <w:rFonts w:cs="Times New Roman"/>
        </w:rPr>
        <w:t>,</w:t>
      </w:r>
      <w:r w:rsidRPr="00654E3B">
        <w:rPr>
          <w:rFonts w:cs="Times New Roman"/>
        </w:rPr>
        <w:t xml:space="preserve"> do gospodarenja otpadom i priznavanja veće vrijednosti resursa. Plan je promijeniti zakonodavni okvir za razvoj kružnog gospodarstva, zacrtati dugoročne ciljeve u pogledu gospodarenja otpadom te provesti daljnje specifične mjere. Osim toga, Akcijskim bi planom tijekom provedbe trebalo podržati poduzeća, društvo i države članice, kako na regionalnoj tako i na lokalnoj razini. U Akcijskom se planu izričito naglašava globalna dimenzija ovoga pitanja i upućuje na zacrtane ciljeve Programa UN-a za 2030. godinu za održivi razvoj.</w:t>
      </w:r>
    </w:p>
    <w:p w:rsidR="007D4A93" w:rsidRPr="00654E3B" w:rsidRDefault="00EF0BEB">
      <w:pPr>
        <w:rPr>
          <w:rFonts w:cs="Times New Roman"/>
        </w:rPr>
      </w:pPr>
      <w:r w:rsidRPr="00654E3B">
        <w:rPr>
          <w:rFonts w:cs="Times New Roman"/>
        </w:rPr>
        <w:t>Održivo gospodarenje otpadom podrazumijeva:</w:t>
      </w:r>
    </w:p>
    <w:p w:rsidR="007D4A93" w:rsidRPr="00654E3B" w:rsidRDefault="00EF0BEB" w:rsidP="000C6795">
      <w:pPr>
        <w:numPr>
          <w:ilvl w:val="0"/>
          <w:numId w:val="43"/>
        </w:numPr>
        <w:spacing w:line="240" w:lineRule="auto"/>
        <w:rPr>
          <w:rFonts w:cs="Times New Roman"/>
          <w:bCs/>
          <w:lang w:eastAsia="hr-HR"/>
        </w:rPr>
      </w:pPr>
      <w:r w:rsidRPr="00654E3B">
        <w:rPr>
          <w:rFonts w:cs="Times New Roman"/>
          <w:bCs/>
          <w:lang w:eastAsia="hr-HR"/>
        </w:rPr>
        <w:t>smanjenje (izbjegavanje) nastajanja otpada i emisija stakleničkih plinova</w:t>
      </w:r>
    </w:p>
    <w:p w:rsidR="007D4A93" w:rsidRPr="00654E3B" w:rsidRDefault="00EF0BEB" w:rsidP="000C6795">
      <w:pPr>
        <w:numPr>
          <w:ilvl w:val="0"/>
          <w:numId w:val="43"/>
        </w:numPr>
        <w:spacing w:line="240" w:lineRule="auto"/>
        <w:rPr>
          <w:rFonts w:cs="Times New Roman"/>
          <w:lang w:eastAsia="hr-HR"/>
        </w:rPr>
      </w:pPr>
      <w:r w:rsidRPr="00654E3B">
        <w:rPr>
          <w:rFonts w:cs="Times New Roman"/>
          <w:bCs/>
          <w:lang w:eastAsia="hr-HR"/>
        </w:rPr>
        <w:t>uspostavljen sustav gospodarenja otpadom</w:t>
      </w:r>
    </w:p>
    <w:p w:rsidR="007D4A93" w:rsidRPr="00654E3B" w:rsidRDefault="00EF0BEB" w:rsidP="000C6795">
      <w:pPr>
        <w:numPr>
          <w:ilvl w:val="0"/>
          <w:numId w:val="43"/>
        </w:numPr>
        <w:spacing w:line="240" w:lineRule="auto"/>
        <w:rPr>
          <w:rFonts w:cs="Times New Roman"/>
          <w:lang w:eastAsia="hr-HR"/>
        </w:rPr>
      </w:pPr>
      <w:r w:rsidRPr="00654E3B">
        <w:rPr>
          <w:rFonts w:cs="Times New Roman"/>
          <w:bCs/>
          <w:lang w:eastAsia="hr-HR"/>
        </w:rPr>
        <w:t xml:space="preserve">sanirana odlagališta </w:t>
      </w:r>
      <w:r w:rsidRPr="00654E3B">
        <w:rPr>
          <w:rFonts w:cs="Times New Roman"/>
          <w:lang w:eastAsia="hr-HR"/>
        </w:rPr>
        <w:t>otpada</w:t>
      </w:r>
    </w:p>
    <w:p w:rsidR="007D4A93" w:rsidRPr="00654E3B" w:rsidRDefault="00EF0BEB" w:rsidP="000C6795">
      <w:pPr>
        <w:numPr>
          <w:ilvl w:val="0"/>
          <w:numId w:val="43"/>
        </w:numPr>
        <w:spacing w:line="240" w:lineRule="auto"/>
        <w:rPr>
          <w:rFonts w:cs="Times New Roman"/>
          <w:lang w:eastAsia="hr-HR"/>
        </w:rPr>
      </w:pPr>
      <w:r w:rsidRPr="00654E3B">
        <w:rPr>
          <w:rFonts w:cs="Times New Roman"/>
          <w:bCs/>
          <w:lang w:eastAsia="hr-HR"/>
        </w:rPr>
        <w:t>potpunu oporabu otpada korištenjem svih suvremenih i dostupnih tehnologija.</w:t>
      </w:r>
    </w:p>
    <w:p w:rsidR="007D4A93" w:rsidRPr="00654E3B" w:rsidRDefault="00EF0BEB">
      <w:pPr>
        <w:rPr>
          <w:rFonts w:cs="Times New Roman"/>
        </w:rPr>
      </w:pPr>
      <w:r w:rsidRPr="00654E3B">
        <w:rPr>
          <w:rFonts w:cs="Times New Roman"/>
        </w:rPr>
        <w:t>Projekcije emisija stakleničkih plinova iz sektora otpad</w:t>
      </w:r>
      <w:r w:rsidR="00BB5DB6" w:rsidRPr="00654E3B">
        <w:rPr>
          <w:rFonts w:cs="Times New Roman"/>
        </w:rPr>
        <w:t>a,</w:t>
      </w:r>
      <w:r w:rsidRPr="00654E3B">
        <w:rPr>
          <w:rFonts w:cs="Times New Roman"/>
        </w:rPr>
        <w:t xml:space="preserve"> temelje se na provedbi mjera propisanih sektorskim zakonodavstvom, usklađenim s EU zakonodavstvom. </w:t>
      </w:r>
    </w:p>
    <w:p w:rsidR="007D4A93" w:rsidRPr="00654E3B" w:rsidRDefault="00EF0BEB">
      <w:pPr>
        <w:rPr>
          <w:rFonts w:cs="Times New Roman"/>
          <w:szCs w:val="24"/>
        </w:rPr>
      </w:pPr>
      <w:r w:rsidRPr="00654E3B">
        <w:rPr>
          <w:rFonts w:cs="Times New Roman"/>
        </w:rPr>
        <w:t>U izradi projekcija iz odlaganja i biološke obrade krutog otpada (kompostiranja)</w:t>
      </w:r>
      <w:r w:rsidR="00BB5DB6" w:rsidRPr="00654E3B">
        <w:rPr>
          <w:rFonts w:cs="Times New Roman"/>
        </w:rPr>
        <w:t>,</w:t>
      </w:r>
      <w:r w:rsidRPr="00654E3B">
        <w:rPr>
          <w:rFonts w:cs="Times New Roman"/>
        </w:rPr>
        <w:t xml:space="preserve"> uključene su pretpostavke temeljene na postojećem pravnom okviru Republike Hrvatske i usvojenom pravnom okviru EU iz sektora otpad</w:t>
      </w:r>
      <w:r w:rsidR="00BB5DB6" w:rsidRPr="00654E3B">
        <w:rPr>
          <w:rFonts w:cs="Times New Roman"/>
        </w:rPr>
        <w:t>a</w:t>
      </w:r>
      <w:r w:rsidRPr="00654E3B">
        <w:rPr>
          <w:rFonts w:cs="Times New Roman"/>
        </w:rPr>
        <w:t xml:space="preserve"> za razdoblje do 2035. godine. Odgoda od </w:t>
      </w:r>
      <w:r w:rsidR="00EE7A3B" w:rsidRPr="00654E3B">
        <w:rPr>
          <w:rFonts w:cs="Times New Roman"/>
        </w:rPr>
        <w:t>pet</w:t>
      </w:r>
      <w:r w:rsidRPr="00654E3B">
        <w:rPr>
          <w:rFonts w:cs="Times New Roman"/>
        </w:rPr>
        <w:t xml:space="preserve"> godina za Republiku Hrvatsku uključena je u projekcije. Za razdoblje nakon 2040. godine</w:t>
      </w:r>
      <w:r w:rsidR="00BB5DB6" w:rsidRPr="00654E3B">
        <w:rPr>
          <w:rFonts w:cs="Times New Roman"/>
        </w:rPr>
        <w:t>,</w:t>
      </w:r>
      <w:r w:rsidRPr="00654E3B">
        <w:rPr>
          <w:rFonts w:cs="Times New Roman"/>
        </w:rPr>
        <w:t xml:space="preserve"> korištene su pretpostavke za primjenu mjera temeljene na stručnoj procjeni, sukladno pretpostavkama definiranima usvojenim planskim dokumentima. </w:t>
      </w:r>
    </w:p>
    <w:p w:rsidR="007D4A93" w:rsidRPr="00654E3B" w:rsidRDefault="00EF0BEB">
      <w:pPr>
        <w:rPr>
          <w:rFonts w:cs="Times New Roman"/>
        </w:rPr>
      </w:pPr>
      <w:r w:rsidRPr="00654E3B">
        <w:rPr>
          <w:rFonts w:cs="Times New Roman"/>
        </w:rPr>
        <w:t>U projekcije emisija iz spaljivanja otpada</w:t>
      </w:r>
      <w:r w:rsidR="00BB5DB6" w:rsidRPr="00654E3B">
        <w:rPr>
          <w:rFonts w:cs="Times New Roman"/>
        </w:rPr>
        <w:t>,</w:t>
      </w:r>
      <w:r w:rsidRPr="00654E3B">
        <w:rPr>
          <w:rFonts w:cs="Times New Roman"/>
        </w:rPr>
        <w:t xml:space="preserve"> uključena je pretpostavka da se više ne provodi spaljivanje bolničkog otpada bez oporabe energije. </w:t>
      </w:r>
    </w:p>
    <w:p w:rsidR="007D4A93" w:rsidRPr="00654E3B" w:rsidRDefault="00EF0BEB">
      <w:pPr>
        <w:rPr>
          <w:rFonts w:cs="Times New Roman"/>
        </w:rPr>
      </w:pPr>
      <w:r w:rsidRPr="00654E3B">
        <w:rPr>
          <w:rFonts w:cs="Times New Roman"/>
        </w:rPr>
        <w:lastRenderedPageBreak/>
        <w:t>Projekcije emisija iz upravljanja otpadnim vodama za razdoblje do 2050. godine</w:t>
      </w:r>
      <w:r w:rsidR="00BB5DB6" w:rsidRPr="00654E3B">
        <w:rPr>
          <w:rFonts w:cs="Times New Roman"/>
        </w:rPr>
        <w:t>,</w:t>
      </w:r>
      <w:r w:rsidRPr="00654E3B">
        <w:rPr>
          <w:rFonts w:cs="Times New Roman"/>
        </w:rPr>
        <w:t xml:space="preserve"> izračunavaju se na temelju emisije iz zadnje povijesne godine (2018.), korištenjem projekcija godišnje stope porasta BDP-a i broja stanovnika.</w:t>
      </w:r>
    </w:p>
    <w:p w:rsidR="007D4A93" w:rsidRPr="00654E3B" w:rsidRDefault="00EF0BEB">
      <w:pPr>
        <w:rPr>
          <w:rFonts w:cs="Times New Roman"/>
          <w:u w:val="single"/>
        </w:rPr>
      </w:pPr>
      <w:r w:rsidRPr="00654E3B">
        <w:rPr>
          <w:rFonts w:cs="Times New Roman"/>
          <w:u w:val="single"/>
        </w:rPr>
        <w:t>Mjere</w:t>
      </w:r>
    </w:p>
    <w:p w:rsidR="007D4A93" w:rsidRPr="00654E3B" w:rsidRDefault="00EF0BEB">
      <w:pPr>
        <w:rPr>
          <w:rFonts w:cs="Times New Roman"/>
        </w:rPr>
      </w:pPr>
      <w:r w:rsidRPr="00654E3B">
        <w:rPr>
          <w:rFonts w:cs="Times New Roman"/>
        </w:rPr>
        <w:t>Niskougljični scenariji uključuju primjenu mjera za smanjenje emisija stakleničkih plinova iz odlaganja krutog otpada.</w:t>
      </w:r>
    </w:p>
    <w:p w:rsidR="007D4A93" w:rsidRPr="00654E3B" w:rsidRDefault="00EF0BEB">
      <w:pPr>
        <w:rPr>
          <w:rFonts w:cs="Times New Roman"/>
        </w:rPr>
      </w:pPr>
      <w:r w:rsidRPr="00654E3B">
        <w:rPr>
          <w:rFonts w:cs="Times New Roman"/>
        </w:rPr>
        <w:t>U NUR scenarij uključene su sljedeće mjere:</w:t>
      </w:r>
    </w:p>
    <w:p w:rsidR="007D4A93" w:rsidRPr="00654E3B" w:rsidRDefault="00EF0BEB" w:rsidP="000C6795">
      <w:pPr>
        <w:pStyle w:val="ListParagraph"/>
        <w:numPr>
          <w:ilvl w:val="0"/>
          <w:numId w:val="26"/>
        </w:numPr>
        <w:rPr>
          <w:rFonts w:cs="Times New Roman"/>
        </w:rPr>
      </w:pPr>
      <w:r w:rsidRPr="00654E3B">
        <w:rPr>
          <w:rFonts w:cs="Times New Roman"/>
        </w:rPr>
        <w:t>sprječavanje nastajanja i smanjivanje količine krutog otpada</w:t>
      </w:r>
    </w:p>
    <w:p w:rsidR="007D4A93" w:rsidRPr="00654E3B" w:rsidRDefault="00EF0BEB" w:rsidP="000C6795">
      <w:pPr>
        <w:pStyle w:val="ListParagraph"/>
        <w:numPr>
          <w:ilvl w:val="0"/>
          <w:numId w:val="26"/>
        </w:numPr>
        <w:rPr>
          <w:rFonts w:cs="Times New Roman"/>
        </w:rPr>
      </w:pPr>
      <w:r w:rsidRPr="00654E3B">
        <w:rPr>
          <w:rFonts w:cs="Times New Roman"/>
        </w:rPr>
        <w:t>povećanje količine odvojeno skupljenog i recikliranog krutog otpada</w:t>
      </w:r>
    </w:p>
    <w:p w:rsidR="007D4A93" w:rsidRPr="00654E3B" w:rsidRDefault="00EF0BEB" w:rsidP="000C6795">
      <w:pPr>
        <w:pStyle w:val="ListParagraph"/>
        <w:numPr>
          <w:ilvl w:val="0"/>
          <w:numId w:val="26"/>
        </w:numPr>
        <w:rPr>
          <w:rFonts w:cs="Times New Roman"/>
        </w:rPr>
      </w:pPr>
      <w:r w:rsidRPr="00654E3B">
        <w:rPr>
          <w:rFonts w:cs="Times New Roman"/>
        </w:rPr>
        <w:t>osiguravanje sustava obrade i korištenja odlagališnog plina</w:t>
      </w:r>
    </w:p>
    <w:p w:rsidR="007D4A93" w:rsidRPr="00654E3B" w:rsidRDefault="00EF0BEB" w:rsidP="000C6795">
      <w:pPr>
        <w:pStyle w:val="ListParagraph"/>
        <w:numPr>
          <w:ilvl w:val="0"/>
          <w:numId w:val="26"/>
        </w:numPr>
        <w:rPr>
          <w:rFonts w:cs="Times New Roman"/>
        </w:rPr>
      </w:pPr>
      <w:r w:rsidRPr="00654E3B">
        <w:rPr>
          <w:rFonts w:cs="Times New Roman"/>
        </w:rPr>
        <w:t>smanjenje količine odloženog biorazgradivog otpada</w:t>
      </w:r>
    </w:p>
    <w:p w:rsidR="007D4A93" w:rsidRPr="00654E3B" w:rsidRDefault="00EF0BEB" w:rsidP="000C6795">
      <w:pPr>
        <w:pStyle w:val="ListParagraph"/>
        <w:numPr>
          <w:ilvl w:val="0"/>
          <w:numId w:val="26"/>
        </w:numPr>
        <w:rPr>
          <w:rFonts w:cs="Times New Roman"/>
        </w:rPr>
      </w:pPr>
      <w:r w:rsidRPr="00654E3B">
        <w:rPr>
          <w:rFonts w:cs="Times New Roman"/>
        </w:rPr>
        <w:t>korištenje bioplina za proizvodnju biometana, električne energije i topline.</w:t>
      </w:r>
    </w:p>
    <w:p w:rsidR="007D4A93" w:rsidRPr="00654E3B" w:rsidRDefault="00EF0BEB">
      <w:pPr>
        <w:rPr>
          <w:rFonts w:cs="Times New Roman"/>
        </w:rPr>
      </w:pPr>
      <w:r w:rsidRPr="00654E3B">
        <w:rPr>
          <w:rFonts w:cs="Times New Roman"/>
        </w:rPr>
        <w:t>Smanjenje količine odloženog biorazgradivog otpada</w:t>
      </w:r>
      <w:r w:rsidR="008F5195" w:rsidRPr="00654E3B">
        <w:rPr>
          <w:rFonts w:cs="Times New Roman"/>
        </w:rPr>
        <w:t>,</w:t>
      </w:r>
      <w:r w:rsidRPr="00654E3B">
        <w:rPr>
          <w:rFonts w:cs="Times New Roman"/>
        </w:rPr>
        <w:t xml:space="preserve"> rezultira povećanjem količine biorazgradivog otpada koji se upućuje na postupke biološke obrade, kao što je kompostiranje i anaerobna digestija u bioplinskim postrojenjima, što uvjetuje povećanje emisije CH</w:t>
      </w:r>
      <w:r w:rsidRPr="00654E3B">
        <w:rPr>
          <w:rFonts w:cs="Times New Roman"/>
          <w:vertAlign w:val="subscript"/>
        </w:rPr>
        <w:t>4</w:t>
      </w:r>
      <w:r w:rsidRPr="00654E3B">
        <w:rPr>
          <w:rFonts w:cs="Times New Roman"/>
        </w:rPr>
        <w:t xml:space="preserve"> tijekom promatranog razdoblja iz aktivnosti kompostiranja koja se bilancira u sektoru otpad</w:t>
      </w:r>
      <w:r w:rsidR="008D071F" w:rsidRPr="00654E3B">
        <w:rPr>
          <w:rFonts w:cs="Times New Roman"/>
        </w:rPr>
        <w:t>a</w:t>
      </w:r>
      <w:r w:rsidRPr="00654E3B">
        <w:rPr>
          <w:rFonts w:cs="Times New Roman"/>
        </w:rPr>
        <w:t>. Ukupni efekt smanjenja količine odloženog biorazgradivog otpada je pozitivan, odnosno dolazi do smanjenja emisije CH</w:t>
      </w:r>
      <w:r w:rsidRPr="00654E3B">
        <w:rPr>
          <w:rFonts w:cs="Times New Roman"/>
          <w:vertAlign w:val="subscript"/>
        </w:rPr>
        <w:t>4</w:t>
      </w:r>
      <w:r w:rsidRPr="00654E3B">
        <w:rPr>
          <w:rFonts w:cs="Times New Roman"/>
        </w:rPr>
        <w:t xml:space="preserve"> zbog smanjenja količine odloženog biorazgradivog otpada na odlagališta, što je i propisano sektorskim zakonodavstvom. </w:t>
      </w:r>
    </w:p>
    <w:p w:rsidR="007D4A93" w:rsidRPr="00654E3B" w:rsidRDefault="00EF0BEB">
      <w:pPr>
        <w:rPr>
          <w:rFonts w:cs="Times New Roman"/>
        </w:rPr>
      </w:pPr>
      <w:r w:rsidRPr="00654E3B">
        <w:rPr>
          <w:rFonts w:cs="Times New Roman"/>
        </w:rPr>
        <w:t>Potencijali smanjenja emisije CO</w:t>
      </w:r>
      <w:r w:rsidRPr="00654E3B">
        <w:rPr>
          <w:rFonts w:cs="Times New Roman"/>
          <w:vertAlign w:val="subscript"/>
        </w:rPr>
        <w:t>2</w:t>
      </w:r>
      <w:r w:rsidRPr="00654E3B">
        <w:rPr>
          <w:rFonts w:cs="Times New Roman"/>
        </w:rPr>
        <w:t xml:space="preserve"> koji se mogu ostvariti primjenom mjera uključenih u NUR scenarij bilanciraju se u sektoru Energetika.</w:t>
      </w:r>
    </w:p>
    <w:p w:rsidR="007D4A93" w:rsidRPr="00654E3B" w:rsidRDefault="00EF0BEB">
      <w:pPr>
        <w:rPr>
          <w:rFonts w:cs="Times New Roman"/>
        </w:rPr>
      </w:pPr>
      <w:r w:rsidRPr="00654E3B">
        <w:rPr>
          <w:rFonts w:cs="Times New Roman"/>
        </w:rPr>
        <w:t>Scenariji NU1 i NU2 jednaki su NUR scenariju, budući nisu raspoznate dodatne mjere za smanjenje emisija. Usporedbenom analizom grupe zemalja sličnih nacionalnih karakteristika</w:t>
      </w:r>
      <w:r w:rsidR="00536DED" w:rsidRPr="00654E3B">
        <w:rPr>
          <w:rFonts w:cs="Times New Roman"/>
        </w:rPr>
        <w:t>,</w:t>
      </w:r>
      <w:r w:rsidRPr="00654E3B">
        <w:rPr>
          <w:rFonts w:cs="Times New Roman"/>
        </w:rPr>
        <w:t xml:space="preserve"> utvrđeno je da nacionalno zakonodavstvo, koje je usklađeno s EU zakonodavstvom, propisuje mjere koje sve države članice moraju implementirati do određenog roka te ih razmatraju u okviru scenarija s mjerama (što odgovara NUR scenariju).</w:t>
      </w:r>
    </w:p>
    <w:p w:rsidR="00AB40C9" w:rsidRPr="00654E3B" w:rsidRDefault="00EF0BEB">
      <w:pPr>
        <w:rPr>
          <w:rFonts w:cs="Times New Roman"/>
        </w:rPr>
      </w:pPr>
      <w:r w:rsidRPr="00654E3B">
        <w:rPr>
          <w:rFonts w:cs="Times New Roman"/>
        </w:rPr>
        <w:t>Prema ciljevima iz Akcijskog plana EU-a za kružno gospodarstvo te integriranom pristupu u novom paketu mjera za kružno gospodarstvo i revidiranim EU Direktivama, predviđena je intenzivna primjena mjera u razdoblju do 2035. godine</w:t>
      </w:r>
      <w:r w:rsidR="00536DED" w:rsidRPr="00654E3B">
        <w:rPr>
          <w:rFonts w:cs="Times New Roman"/>
        </w:rPr>
        <w:t>,</w:t>
      </w:r>
      <w:r w:rsidRPr="00654E3B">
        <w:rPr>
          <w:rFonts w:cs="Times New Roman"/>
        </w:rPr>
        <w:t xml:space="preserve"> kao i podizanje razine ciljeva u pogledu učinkovitog korištenja resursa, recikliranja, ponovne uporabe i gospodarenja otpadom.</w:t>
      </w:r>
    </w:p>
    <w:p w:rsidR="007D4A93" w:rsidRPr="00654E3B" w:rsidRDefault="00EF0BEB" w:rsidP="009F6651">
      <w:pPr>
        <w:pStyle w:val="Heading3"/>
      </w:pPr>
      <w:bookmarkStart w:id="276" w:name="_Toc69810191"/>
      <w:r w:rsidRPr="00654E3B">
        <w:t>6.7.3. Smjernice za niskougljični razvoj</w:t>
      </w:r>
      <w:bookmarkEnd w:id="276"/>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Do 2030. godine</w:t>
      </w:r>
    </w:p>
    <w:p w:rsidR="007D4A93" w:rsidRPr="00654E3B" w:rsidRDefault="00EF0BEB" w:rsidP="000C6795">
      <w:pPr>
        <w:pStyle w:val="ListParagraph"/>
        <w:numPr>
          <w:ilvl w:val="0"/>
          <w:numId w:val="25"/>
        </w:numPr>
        <w:rPr>
          <w:rFonts w:cs="Times New Roman"/>
        </w:rPr>
      </w:pPr>
      <w:r w:rsidRPr="00654E3B">
        <w:rPr>
          <w:rFonts w:cs="Times New Roman"/>
        </w:rPr>
        <w:t>Ušteda sirovina primjenom mjera sprječavanja nastajanja i recikliranja otpada.</w:t>
      </w:r>
    </w:p>
    <w:p w:rsidR="007D4A93" w:rsidRPr="00654E3B" w:rsidRDefault="00EF0BEB" w:rsidP="000C6795">
      <w:pPr>
        <w:pStyle w:val="ListParagraph"/>
        <w:numPr>
          <w:ilvl w:val="0"/>
          <w:numId w:val="25"/>
        </w:numPr>
        <w:rPr>
          <w:rFonts w:cs="Times New Roman"/>
        </w:rPr>
      </w:pPr>
      <w:r w:rsidRPr="00654E3B">
        <w:rPr>
          <w:rFonts w:cs="Times New Roman"/>
        </w:rPr>
        <w:t>Uspostava sustava odvojenog sakupljanja otpada, u skladu s ciljevima nacionalnog i EU zakonodavstva.</w:t>
      </w:r>
    </w:p>
    <w:p w:rsidR="007D4A93" w:rsidRPr="00654E3B" w:rsidRDefault="00EF0BEB" w:rsidP="000C6795">
      <w:pPr>
        <w:pStyle w:val="ListParagraph"/>
        <w:numPr>
          <w:ilvl w:val="0"/>
          <w:numId w:val="25"/>
        </w:numPr>
        <w:rPr>
          <w:rFonts w:cs="Times New Roman"/>
        </w:rPr>
      </w:pPr>
      <w:r w:rsidRPr="00654E3B">
        <w:rPr>
          <w:rFonts w:cs="Times New Roman"/>
        </w:rPr>
        <w:t>Potpuna provedba sanacije i zatvaranja postojećih odlagališta.</w:t>
      </w:r>
    </w:p>
    <w:p w:rsidR="007D4A93" w:rsidRPr="00654E3B" w:rsidRDefault="00EF0BEB" w:rsidP="000C6795">
      <w:pPr>
        <w:pStyle w:val="ListParagraph"/>
        <w:numPr>
          <w:ilvl w:val="0"/>
          <w:numId w:val="25"/>
        </w:numPr>
        <w:rPr>
          <w:rFonts w:cs="Times New Roman"/>
        </w:rPr>
      </w:pPr>
      <w:r w:rsidRPr="00654E3B">
        <w:rPr>
          <w:rFonts w:cs="Times New Roman"/>
        </w:rPr>
        <w:t>Uspostava cjelovitog sustava gospodarenja otpadom prema redu prvenstva koji se provodi u skladu s ciljevima EU direktiva - uspostava centara za gospodarenje otpadom.</w:t>
      </w:r>
    </w:p>
    <w:p w:rsidR="007D4A93" w:rsidRPr="00654E3B" w:rsidRDefault="00EF0BEB" w:rsidP="000C6795">
      <w:pPr>
        <w:pStyle w:val="ListParagraph"/>
        <w:numPr>
          <w:ilvl w:val="0"/>
          <w:numId w:val="25"/>
        </w:numPr>
        <w:rPr>
          <w:rFonts w:cs="Times New Roman"/>
        </w:rPr>
      </w:pPr>
      <w:r w:rsidRPr="00654E3B">
        <w:rPr>
          <w:rFonts w:cs="Times New Roman"/>
        </w:rPr>
        <w:t>Poticanje proizvodnje iz obnovljivih izvora energije - elektrane na odlagališni plin i plin iz postrojenja za pročišćavanje otpadnih voda, elektrane na bioplin i biomasu.</w:t>
      </w:r>
    </w:p>
    <w:p w:rsidR="007D4A93" w:rsidRPr="00654E3B" w:rsidRDefault="00EF0BEB" w:rsidP="000C6795">
      <w:pPr>
        <w:pStyle w:val="ListParagraph"/>
        <w:numPr>
          <w:ilvl w:val="0"/>
          <w:numId w:val="25"/>
        </w:numPr>
        <w:rPr>
          <w:rFonts w:cs="Times New Roman"/>
        </w:rPr>
      </w:pPr>
      <w:r w:rsidRPr="00654E3B">
        <w:rPr>
          <w:rFonts w:cs="Times New Roman"/>
        </w:rPr>
        <w:t>Učinkovita oporaba otpada - okosnicu sustava čine reciklažni centri sa sortirnicama, cjelokupni odvojeno sakupljeni otpad potrebno je oporabiti - gospodarenje sirovinama - kružno gospodarstvo.</w:t>
      </w:r>
    </w:p>
    <w:p w:rsidR="007D4A93" w:rsidRPr="00654E3B" w:rsidRDefault="00EF0BEB" w:rsidP="000C6795">
      <w:pPr>
        <w:pStyle w:val="ListParagraph"/>
        <w:numPr>
          <w:ilvl w:val="0"/>
          <w:numId w:val="25"/>
        </w:numPr>
        <w:rPr>
          <w:rFonts w:cs="Times New Roman"/>
        </w:rPr>
      </w:pPr>
      <w:r w:rsidRPr="00654E3B">
        <w:rPr>
          <w:rFonts w:cs="Times New Roman"/>
        </w:rPr>
        <w:t>Prijenos znanja i iskustava zemalja EU u primjeni najboljih raspoloživih tehnika za obradu otpada.</w:t>
      </w:r>
    </w:p>
    <w:p w:rsidR="007D4A93" w:rsidRPr="00654E3B" w:rsidRDefault="00EF0BEB" w:rsidP="000C6795">
      <w:pPr>
        <w:pStyle w:val="ListParagraph"/>
        <w:numPr>
          <w:ilvl w:val="0"/>
          <w:numId w:val="25"/>
        </w:numPr>
        <w:rPr>
          <w:rFonts w:cs="Times New Roman"/>
        </w:rPr>
      </w:pPr>
      <w:r w:rsidRPr="00654E3B">
        <w:rPr>
          <w:rFonts w:cs="Times New Roman"/>
        </w:rPr>
        <w:t>Razvoj svijesti o potrebi upravljanja otpadom - kružno gospodarstvo, poticanje međusektorske suradnje (prehrambena industrija, poljoprivreda, šumarstvo, …).</w:t>
      </w:r>
    </w:p>
    <w:p w:rsidR="007D4A93" w:rsidRPr="00654E3B" w:rsidRDefault="00EF0BEB" w:rsidP="000C6795">
      <w:pPr>
        <w:pStyle w:val="ListParagraph"/>
        <w:numPr>
          <w:ilvl w:val="0"/>
          <w:numId w:val="25"/>
        </w:numPr>
        <w:rPr>
          <w:rFonts w:cs="Times New Roman"/>
        </w:rPr>
      </w:pPr>
      <w:r w:rsidRPr="00654E3B">
        <w:rPr>
          <w:rFonts w:cs="Times New Roman"/>
        </w:rPr>
        <w:t>Razvoj novih tehnologija obrade otpada - ulaganje u istraživanje i razvoj.</w:t>
      </w:r>
    </w:p>
    <w:p w:rsidR="007D4A93" w:rsidRPr="00654E3B" w:rsidRDefault="00EF0BEB" w:rsidP="000C6795">
      <w:pPr>
        <w:pStyle w:val="ListParagraph"/>
        <w:numPr>
          <w:ilvl w:val="0"/>
          <w:numId w:val="25"/>
        </w:numPr>
        <w:rPr>
          <w:rFonts w:cs="Times New Roman"/>
        </w:rPr>
      </w:pPr>
      <w:r w:rsidRPr="00654E3B">
        <w:rPr>
          <w:rFonts w:cs="Times New Roman"/>
        </w:rPr>
        <w:lastRenderedPageBreak/>
        <w:t>Osiguravanje potpora za investicijske projekte - korištenje sredstava iz EU strukturnih i investicijskih fondova.</w:t>
      </w:r>
    </w:p>
    <w:p w:rsidR="007D4A93" w:rsidRPr="00654E3B" w:rsidRDefault="00EF0BEB" w:rsidP="000C6795">
      <w:pPr>
        <w:pStyle w:val="ListParagraph"/>
        <w:numPr>
          <w:ilvl w:val="0"/>
          <w:numId w:val="25"/>
        </w:numPr>
        <w:rPr>
          <w:rFonts w:cs="Times New Roman"/>
        </w:rPr>
      </w:pPr>
      <w:r w:rsidRPr="00654E3B">
        <w:rPr>
          <w:rFonts w:cs="Times New Roman"/>
        </w:rPr>
        <w:t>Ostvarivanje pozitivnog okruženja za privlačenje investicija.</w:t>
      </w:r>
    </w:p>
    <w:p w:rsidR="007D4A93" w:rsidRPr="00654E3B" w:rsidRDefault="00EF0BEB" w:rsidP="000C6795">
      <w:pPr>
        <w:pStyle w:val="ListParagraph"/>
        <w:numPr>
          <w:ilvl w:val="0"/>
          <w:numId w:val="25"/>
        </w:numPr>
        <w:rPr>
          <w:rFonts w:cs="Times New Roman"/>
        </w:rPr>
      </w:pPr>
      <w:r w:rsidRPr="00654E3B">
        <w:rPr>
          <w:rFonts w:cs="Times New Roman"/>
        </w:rPr>
        <w:t>Provedba programa razvoja kružnog gospodarenja prostorom i zgradama.</w:t>
      </w:r>
    </w:p>
    <w:p w:rsidR="007D4A93" w:rsidRPr="00654E3B" w:rsidRDefault="00EF0BEB">
      <w:pPr>
        <w:rPr>
          <w:rFonts w:cs="Times New Roman"/>
          <w:u w:val="single"/>
        </w:rPr>
      </w:pPr>
      <w:r w:rsidRPr="00654E3B">
        <w:rPr>
          <w:rFonts w:cs="Times New Roman"/>
          <w:u w:val="single"/>
        </w:rPr>
        <w:t>Do 2050. godine</w:t>
      </w:r>
    </w:p>
    <w:p w:rsidR="007D4A93" w:rsidRPr="00654E3B" w:rsidRDefault="00EF0BEB" w:rsidP="000C6795">
      <w:pPr>
        <w:pStyle w:val="ListParagraph"/>
        <w:numPr>
          <w:ilvl w:val="0"/>
          <w:numId w:val="24"/>
        </w:numPr>
        <w:rPr>
          <w:rFonts w:cs="Times New Roman"/>
        </w:rPr>
      </w:pPr>
      <w:bookmarkStart w:id="277" w:name="_Hlk43223400"/>
      <w:r w:rsidRPr="00654E3B">
        <w:rPr>
          <w:rFonts w:cs="Times New Roman"/>
        </w:rPr>
        <w:t>Uspostava sustava gospodarenja otpadom sukladno načelima kružnog gospodarstva</w:t>
      </w:r>
      <w:bookmarkEnd w:id="277"/>
      <w:r w:rsidRPr="00654E3B">
        <w:rPr>
          <w:rFonts w:cs="Times New Roman"/>
        </w:rPr>
        <w:t>.</w:t>
      </w:r>
    </w:p>
    <w:p w:rsidR="007D4A93" w:rsidRPr="00654E3B" w:rsidRDefault="00EF0BEB" w:rsidP="000C6795">
      <w:pPr>
        <w:pStyle w:val="ListParagraph"/>
        <w:numPr>
          <w:ilvl w:val="0"/>
          <w:numId w:val="24"/>
        </w:numPr>
        <w:rPr>
          <w:rFonts w:cs="Times New Roman"/>
        </w:rPr>
      </w:pPr>
      <w:r w:rsidRPr="00654E3B">
        <w:rPr>
          <w:rFonts w:cs="Times New Roman"/>
        </w:rPr>
        <w:t>Razvoj novih tehnologija obrade otpada - ulaganje u istraživanje i razvoj.</w:t>
      </w:r>
    </w:p>
    <w:p w:rsidR="007D4A93" w:rsidRPr="00654E3B" w:rsidRDefault="00EF0BEB" w:rsidP="000C6795">
      <w:pPr>
        <w:pStyle w:val="ListParagraph"/>
        <w:numPr>
          <w:ilvl w:val="0"/>
          <w:numId w:val="24"/>
        </w:numPr>
        <w:rPr>
          <w:rFonts w:cs="Times New Roman"/>
          <w:szCs w:val="24"/>
        </w:rPr>
      </w:pPr>
      <w:r w:rsidRPr="00654E3B">
        <w:rPr>
          <w:rFonts w:cs="Times New Roman"/>
        </w:rPr>
        <w:t>Provedba programa za investiranje u troškovno-učinkovite mjere za obradu otpada, kojima se ostvaruje veće smanjenje emisija stakleničkih plinova.</w:t>
      </w:r>
    </w:p>
    <w:p w:rsidR="007D4A93" w:rsidRPr="00654E3B" w:rsidRDefault="00EF0BEB" w:rsidP="000C6795">
      <w:pPr>
        <w:pStyle w:val="ListParagraph"/>
        <w:numPr>
          <w:ilvl w:val="0"/>
          <w:numId w:val="24"/>
        </w:numPr>
        <w:rPr>
          <w:rFonts w:cs="Times New Roman"/>
          <w:szCs w:val="24"/>
        </w:rPr>
      </w:pPr>
      <w:r w:rsidRPr="00654E3B">
        <w:rPr>
          <w:rFonts w:cs="Times New Roman"/>
          <w:szCs w:val="24"/>
        </w:rPr>
        <w:t>Potpuno funkcioniranje cjelovitog sustava kružnog gospodarenja prostorom i zgradama.</w:t>
      </w:r>
    </w:p>
    <w:p w:rsidR="007D4A93" w:rsidRPr="00D27803" w:rsidRDefault="00EF0BEB" w:rsidP="00AB40C9">
      <w:pPr>
        <w:pStyle w:val="Heading2"/>
        <w:rPr>
          <w:rFonts w:ascii="Times New Roman" w:hAnsi="Times New Roman" w:cs="Times New Roman"/>
        </w:rPr>
      </w:pPr>
      <w:bookmarkStart w:id="278" w:name="_Toc20841309"/>
      <w:bookmarkStart w:id="279" w:name="_Toc20841415"/>
      <w:bookmarkStart w:id="280" w:name="_Toc69810192"/>
      <w:r w:rsidRPr="00654E3B">
        <w:rPr>
          <w:rFonts w:ascii="Times New Roman" w:hAnsi="Times New Roman" w:cs="Times New Roman"/>
        </w:rPr>
        <w:t xml:space="preserve">6.8. </w:t>
      </w:r>
      <w:r w:rsidRPr="00654E3B">
        <w:rPr>
          <w:rFonts w:ascii="Times New Roman" w:hAnsi="Times New Roman" w:cs="Times New Roman"/>
        </w:rPr>
        <w:tab/>
        <w:t>Korištenje zemljišta, prenamjena u korištenju zemljišta i šumarstvo (LULUCF)</w:t>
      </w:r>
      <w:bookmarkEnd w:id="278"/>
      <w:bookmarkEnd w:id="279"/>
      <w:bookmarkEnd w:id="280"/>
    </w:p>
    <w:p w:rsidR="007D4A93" w:rsidRPr="00654E3B" w:rsidRDefault="00EF0BEB" w:rsidP="009F6651">
      <w:pPr>
        <w:pStyle w:val="Heading3"/>
      </w:pPr>
      <w:bookmarkStart w:id="281" w:name="_Toc69810193"/>
      <w:r w:rsidRPr="00F01191">
        <w:t>6.8.1. Emisije ugljikova dioksida i ponori</w:t>
      </w:r>
      <w:bookmarkEnd w:id="281"/>
    </w:p>
    <w:p w:rsidR="007D4A93" w:rsidRPr="00654E3B" w:rsidRDefault="007D4A93">
      <w:pPr>
        <w:keepNext/>
        <w:rPr>
          <w:rFonts w:cs="Times New Roman"/>
        </w:rPr>
      </w:pPr>
    </w:p>
    <w:p w:rsidR="007D4A93" w:rsidRPr="00654E3B" w:rsidRDefault="00EF0BEB">
      <w:pPr>
        <w:keepNext/>
        <w:rPr>
          <w:rFonts w:cs="Times New Roman"/>
        </w:rPr>
      </w:pPr>
      <w:r w:rsidRPr="00654E3B">
        <w:rPr>
          <w:rFonts w:cs="Times New Roman"/>
        </w:rPr>
        <w:t>Sektor Korištenja zemljišta, prenamjene zemljišta i šumarstva (LULUCF)</w:t>
      </w:r>
      <w:r w:rsidR="00536DED" w:rsidRPr="00654E3B">
        <w:rPr>
          <w:rFonts w:cs="Times New Roman"/>
        </w:rPr>
        <w:t>,</w:t>
      </w:r>
      <w:r w:rsidRPr="00654E3B">
        <w:rPr>
          <w:rFonts w:cs="Times New Roman"/>
        </w:rPr>
        <w:t xml:space="preserve"> jedini je sektor u kojem se pojavljuju ponori (uklanjanje) ugljikova dioksida iz atmosfere, ali i emisije stakleničkih plinova. LULUCF sektor na međunarodnoj razini reguliran je od strane UNFCCC-a, Kyotskim protokolom</w:t>
      </w:r>
      <w:r w:rsidR="00487476" w:rsidRPr="00654E3B">
        <w:rPr>
          <w:rFonts w:cs="Times New Roman"/>
        </w:rPr>
        <w:t>,</w:t>
      </w:r>
      <w:r w:rsidRPr="00654E3B">
        <w:rPr>
          <w:rFonts w:cs="Times New Roman"/>
        </w:rPr>
        <w:t xml:space="preserve"> Pariškim sporazumom te politikama EU. U sklopu međunarodnih pregovora o smanjenju emisija stakleničkih plinova</w:t>
      </w:r>
      <w:r w:rsidR="00536DED" w:rsidRPr="00654E3B">
        <w:rPr>
          <w:rFonts w:cs="Times New Roman"/>
        </w:rPr>
        <w:t>,</w:t>
      </w:r>
      <w:r w:rsidRPr="00654E3B">
        <w:rPr>
          <w:rFonts w:cs="Times New Roman"/>
        </w:rPr>
        <w:t xml:space="preserve"> LULUCF sektor je uvijek bio zasebno tretiran s obzirom na činjenicu da se jedino u njemu pojavljuju ponori kao rezultat antropogenog djelovanja i prirodnih procesa.</w:t>
      </w:r>
    </w:p>
    <w:p w:rsidR="007D4A93" w:rsidRPr="00654E3B" w:rsidRDefault="00EF0BEB">
      <w:pPr>
        <w:rPr>
          <w:rFonts w:cs="Times New Roman"/>
        </w:rPr>
      </w:pPr>
      <w:bookmarkStart w:id="282" w:name="_Hlk36802488"/>
      <w:r w:rsidRPr="00654E3B">
        <w:rPr>
          <w:rFonts w:cs="Times New Roman"/>
        </w:rPr>
        <w:t xml:space="preserve">Na razini sektora, LULUCF sektor u Republici Hrvatskoj je sektor ponora. LULUCF kategorije </w:t>
      </w:r>
      <w:r w:rsidRPr="00654E3B">
        <w:rPr>
          <w:rFonts w:cs="Times New Roman"/>
          <w:i/>
        </w:rPr>
        <w:t>Šumskog zemljišta</w:t>
      </w:r>
      <w:r w:rsidRPr="00654E3B">
        <w:rPr>
          <w:rFonts w:cs="Times New Roman"/>
        </w:rPr>
        <w:t xml:space="preserve"> i </w:t>
      </w:r>
      <w:r w:rsidRPr="00654E3B">
        <w:rPr>
          <w:rFonts w:cs="Times New Roman"/>
          <w:i/>
        </w:rPr>
        <w:t>Travnjaka</w:t>
      </w:r>
      <w:r w:rsidRPr="00654E3B">
        <w:rPr>
          <w:rFonts w:cs="Times New Roman"/>
        </w:rPr>
        <w:t xml:space="preserve"> su kategorije u kojima</w:t>
      </w:r>
      <w:r w:rsidR="00487476" w:rsidRPr="00654E3B">
        <w:rPr>
          <w:rFonts w:cs="Times New Roman"/>
        </w:rPr>
        <w:t>,</w:t>
      </w:r>
      <w:r w:rsidRPr="00654E3B">
        <w:rPr>
          <w:rFonts w:cs="Times New Roman"/>
        </w:rPr>
        <w:t xml:space="preserve"> </w:t>
      </w:r>
      <w:r w:rsidR="006328C7" w:rsidRPr="00654E3B">
        <w:rPr>
          <w:rFonts w:cs="Times New Roman"/>
        </w:rPr>
        <w:t xml:space="preserve">kad se zbroje ponori i emisije, u konačnici te kategorije rezultiraju </w:t>
      </w:r>
      <w:r w:rsidR="00BF4CA8" w:rsidRPr="00654E3B">
        <w:rPr>
          <w:rFonts w:cs="Times New Roman"/>
        </w:rPr>
        <w:t>ponor</w:t>
      </w:r>
      <w:r w:rsidR="006328C7" w:rsidRPr="00654E3B">
        <w:rPr>
          <w:rFonts w:cs="Times New Roman"/>
        </w:rPr>
        <w:t>om</w:t>
      </w:r>
      <w:r w:rsidRPr="00654E3B">
        <w:rPr>
          <w:rFonts w:cs="Times New Roman"/>
        </w:rPr>
        <w:t xml:space="preserve"> (uklanjanje</w:t>
      </w:r>
      <w:r w:rsidR="006328C7" w:rsidRPr="00654E3B">
        <w:rPr>
          <w:rFonts w:cs="Times New Roman"/>
        </w:rPr>
        <w:t>m</w:t>
      </w:r>
      <w:r w:rsidRPr="00654E3B">
        <w:rPr>
          <w:rFonts w:cs="Times New Roman"/>
        </w:rPr>
        <w:t xml:space="preserve">) </w:t>
      </w:r>
      <w:r w:rsidR="006328C7" w:rsidRPr="00654E3B">
        <w:rPr>
          <w:rFonts w:cs="Times New Roman"/>
        </w:rPr>
        <w:t xml:space="preserve">emisija </w:t>
      </w:r>
      <w:r w:rsidRPr="00654E3B">
        <w:rPr>
          <w:rFonts w:cs="Times New Roman"/>
        </w:rPr>
        <w:t xml:space="preserve">stakleničkih plinova. U kategorijama </w:t>
      </w:r>
      <w:r w:rsidRPr="00654E3B">
        <w:rPr>
          <w:rFonts w:cs="Times New Roman"/>
          <w:i/>
        </w:rPr>
        <w:t>Usjeva/Nasada</w:t>
      </w:r>
      <w:r w:rsidRPr="00654E3B">
        <w:rPr>
          <w:rFonts w:cs="Times New Roman"/>
        </w:rPr>
        <w:t xml:space="preserve">, </w:t>
      </w:r>
      <w:r w:rsidRPr="00654E3B">
        <w:rPr>
          <w:rFonts w:cs="Times New Roman"/>
          <w:i/>
        </w:rPr>
        <w:t>Naseljenih područja</w:t>
      </w:r>
      <w:r w:rsidRPr="00654E3B">
        <w:rPr>
          <w:rFonts w:cs="Times New Roman"/>
        </w:rPr>
        <w:t xml:space="preserve"> i </w:t>
      </w:r>
      <w:r w:rsidRPr="00654E3B">
        <w:rPr>
          <w:rFonts w:cs="Times New Roman"/>
          <w:i/>
        </w:rPr>
        <w:t>Močvarnog zemljišta</w:t>
      </w:r>
      <w:r w:rsidR="00536DED" w:rsidRPr="00654E3B">
        <w:rPr>
          <w:rFonts w:cs="Times New Roman"/>
          <w:i/>
        </w:rPr>
        <w:t>,</w:t>
      </w:r>
      <w:r w:rsidRPr="00654E3B">
        <w:rPr>
          <w:rFonts w:cs="Times New Roman"/>
        </w:rPr>
        <w:t xml:space="preserve"> konačni izračun za pojedinu kategoriju su emisije. U kategoriji </w:t>
      </w:r>
      <w:r w:rsidRPr="00654E3B">
        <w:rPr>
          <w:rFonts w:cs="Times New Roman"/>
          <w:i/>
        </w:rPr>
        <w:t>Ostalog zemljišta</w:t>
      </w:r>
      <w:r w:rsidRPr="00654E3B">
        <w:rPr>
          <w:rFonts w:cs="Times New Roman"/>
        </w:rPr>
        <w:t xml:space="preserve"> ne provodi se izračun emisija/ponora. U razdoblju od 1990. do 2018. godine ponori su bili (prema apsolutnoj vrijednosti) najniži u 2017. godini (-4728.71 kt CO</w:t>
      </w:r>
      <w:r w:rsidRPr="00654E3B">
        <w:rPr>
          <w:rFonts w:cs="Times New Roman"/>
          <w:vertAlign w:val="subscript"/>
        </w:rPr>
        <w:t>2</w:t>
      </w:r>
      <w:r w:rsidRPr="00654E3B">
        <w:rPr>
          <w:rFonts w:cs="Times New Roman"/>
        </w:rPr>
        <w:t>), te najviši u 1995. godini (-8954.6 kt CO</w:t>
      </w:r>
      <w:r w:rsidRPr="00654E3B">
        <w:rPr>
          <w:rFonts w:cs="Times New Roman"/>
          <w:vertAlign w:val="subscript"/>
        </w:rPr>
        <w:t>2</w:t>
      </w:r>
      <w:r w:rsidRPr="00654E3B">
        <w:rPr>
          <w:rFonts w:cs="Times New Roman"/>
        </w:rPr>
        <w:t xml:space="preserve">). </w:t>
      </w:r>
      <w:bookmarkEnd w:id="282"/>
    </w:p>
    <w:p w:rsidR="007D4A93" w:rsidRPr="00654E3B" w:rsidRDefault="00EF0BEB">
      <w:pPr>
        <w:rPr>
          <w:rFonts w:cs="Times New Roman"/>
        </w:rPr>
      </w:pPr>
      <w:r w:rsidRPr="00654E3B">
        <w:rPr>
          <w:rFonts w:cs="Times New Roman"/>
        </w:rPr>
        <w:t>U LULUCF sektoru zabilježen je trend smanjenja ponora. Najveći razlog za isto je izostanak provedbe propisanih praksi gospodarenja šumama na svim površinama šuma</w:t>
      </w:r>
      <w:r w:rsidR="00715FD3" w:rsidRPr="00654E3B">
        <w:rPr>
          <w:rFonts w:cs="Times New Roman"/>
        </w:rPr>
        <w:t>,</w:t>
      </w:r>
      <w:r w:rsidRPr="00654E3B">
        <w:rPr>
          <w:rFonts w:cs="Times New Roman"/>
        </w:rPr>
        <w:t xml:space="preserve"> u vrijeme Domovinskog rata i tijekom poratnog razdoblja. Rat i posljedice rata uzrokovali su poremećaj strukture šumskih sastojina te doveli do smanjenja prirasta u šumama</w:t>
      </w:r>
      <w:r w:rsidR="00536DED" w:rsidRPr="00654E3B">
        <w:rPr>
          <w:rFonts w:cs="Times New Roman"/>
        </w:rPr>
        <w:t>,</w:t>
      </w:r>
      <w:r w:rsidRPr="00654E3B">
        <w:rPr>
          <w:rFonts w:cs="Times New Roman"/>
        </w:rPr>
        <w:t xml:space="preserve"> radi izostanka pravovremene provedbe propisanih uzgojnih zahvata (izostanak sječa). Radovi predviđeni Šumskogospodarskom osnovom </w:t>
      </w:r>
      <w:r w:rsidRPr="00654E3B">
        <w:rPr>
          <w:rFonts w:cs="Times New Roman"/>
          <w:szCs w:val="24"/>
        </w:rPr>
        <w:t xml:space="preserve">područja </w:t>
      </w:r>
      <w:r w:rsidRPr="00654E3B">
        <w:rPr>
          <w:rFonts w:eastAsia="Times New Roman" w:cs="Times New Roman"/>
          <w:szCs w:val="24"/>
          <w:lang w:eastAsia="hr-HR"/>
        </w:rPr>
        <w:t>Republike Hrvatske</w:t>
      </w:r>
      <w:r w:rsidRPr="00654E3B">
        <w:rPr>
          <w:rFonts w:cs="Times New Roman"/>
          <w:szCs w:val="24"/>
        </w:rPr>
        <w:t xml:space="preserve"> za period</w:t>
      </w:r>
      <w:r w:rsidRPr="00654E3B">
        <w:rPr>
          <w:rFonts w:cs="Times New Roman"/>
        </w:rPr>
        <w:t xml:space="preserve"> 2016.-2025.</w:t>
      </w:r>
      <w:r w:rsidR="00715FD3" w:rsidRPr="00654E3B">
        <w:rPr>
          <w:rFonts w:cs="Times New Roman"/>
        </w:rPr>
        <w:t>,</w:t>
      </w:r>
      <w:r w:rsidRPr="00654E3B">
        <w:rPr>
          <w:rFonts w:cs="Times New Roman"/>
        </w:rPr>
        <w:t xml:space="preserve"> trebaju dovesti do uspostavljanja odgovarajuće strukture sastojina</w:t>
      </w:r>
      <w:r w:rsidR="00715FD3" w:rsidRPr="00654E3B">
        <w:rPr>
          <w:rFonts w:cs="Times New Roman"/>
        </w:rPr>
        <w:t>,</w:t>
      </w:r>
      <w:r w:rsidRPr="00654E3B">
        <w:rPr>
          <w:rFonts w:cs="Times New Roman"/>
        </w:rPr>
        <w:t xml:space="preserve"> za što je nužno provesti sve radove koji nisu pravovremeno provedeni u sastojinama koje su bile na ratom zahvaćenim područjima</w:t>
      </w:r>
      <w:r w:rsidR="00715FD3" w:rsidRPr="00654E3B">
        <w:rPr>
          <w:rFonts w:cs="Times New Roman"/>
        </w:rPr>
        <w:t>,</w:t>
      </w:r>
      <w:r w:rsidRPr="00654E3B">
        <w:rPr>
          <w:rFonts w:cs="Times New Roman"/>
        </w:rPr>
        <w:t xml:space="preserve"> kao i na površinama koje su bile pod utjecajem poslijeratnih događanja (npr. minirane i minski sumnjive šumske površine). </w:t>
      </w:r>
    </w:p>
    <w:p w:rsidR="007D4A93" w:rsidRPr="00654E3B" w:rsidRDefault="00EF0BEB" w:rsidP="009F6651">
      <w:pPr>
        <w:pStyle w:val="Heading3"/>
      </w:pPr>
      <w:bookmarkStart w:id="283" w:name="_Toc69810194"/>
      <w:r w:rsidRPr="00654E3B">
        <w:t>6.8.2. Politike i mjere za niskougljični razvoj</w:t>
      </w:r>
      <w:bookmarkEnd w:id="283"/>
    </w:p>
    <w:p w:rsidR="007D4A93" w:rsidRPr="00654E3B" w:rsidRDefault="007D4A93">
      <w:pPr>
        <w:rPr>
          <w:rFonts w:cs="Times New Roman"/>
        </w:rPr>
      </w:pPr>
    </w:p>
    <w:p w:rsidR="007D4A93" w:rsidRPr="00654E3B" w:rsidRDefault="00EF0BEB">
      <w:pPr>
        <w:spacing w:line="240" w:lineRule="auto"/>
        <w:rPr>
          <w:rFonts w:cs="Times New Roman"/>
          <w:bCs/>
        </w:rPr>
      </w:pPr>
      <w:r w:rsidRPr="00654E3B">
        <w:rPr>
          <w:rFonts w:cs="Times New Roman"/>
          <w:bCs/>
        </w:rPr>
        <w:t>Za potrebe postizanja cilja o smanjenju emisija stakleničkih plinova za 20</w:t>
      </w:r>
      <w:r w:rsidR="00060992" w:rsidRPr="00654E3B">
        <w:rPr>
          <w:rFonts w:cs="Times New Roman"/>
          <w:bCs/>
        </w:rPr>
        <w:t xml:space="preserve"> %</w:t>
      </w:r>
      <w:r w:rsidRPr="00654E3B">
        <w:rPr>
          <w:rFonts w:cs="Times New Roman"/>
          <w:bCs/>
        </w:rPr>
        <w:t xml:space="preserve"> do 2020. godine u odnosu na emisije iz 1990. godine, Europska </w:t>
      </w:r>
      <w:r w:rsidR="00715FD3" w:rsidRPr="00654E3B">
        <w:rPr>
          <w:rFonts w:cs="Times New Roman"/>
          <w:bCs/>
        </w:rPr>
        <w:t xml:space="preserve">unija </w:t>
      </w:r>
      <w:r w:rsidRPr="00654E3B">
        <w:rPr>
          <w:rFonts w:cs="Times New Roman"/>
          <w:bCs/>
        </w:rPr>
        <w:t>nije uzimala u obzir ponore/emisije iz LULUCF sektora.</w:t>
      </w:r>
    </w:p>
    <w:p w:rsidR="007D4A93" w:rsidRPr="00654E3B" w:rsidRDefault="00EF0BEB">
      <w:pPr>
        <w:spacing w:line="240" w:lineRule="auto"/>
        <w:rPr>
          <w:rFonts w:cs="Times New Roman"/>
          <w:bCs/>
        </w:rPr>
      </w:pPr>
      <w:r w:rsidRPr="00654E3B">
        <w:rPr>
          <w:rFonts w:cs="Times New Roman"/>
          <w:bCs/>
        </w:rPr>
        <w:t xml:space="preserve">Odlukom </w:t>
      </w:r>
      <w:r w:rsidR="00AC6410" w:rsidRPr="00654E3B">
        <w:rPr>
          <w:rFonts w:cs="Times New Roman"/>
          <w:bCs/>
        </w:rPr>
        <w:t xml:space="preserve">br. </w:t>
      </w:r>
      <w:r w:rsidRPr="00654E3B">
        <w:rPr>
          <w:rFonts w:cs="Times New Roman"/>
          <w:bCs/>
        </w:rPr>
        <w:t xml:space="preserve">529/2013/EU </w:t>
      </w:r>
      <w:r w:rsidR="00AC6410" w:rsidRPr="00654E3B">
        <w:rPr>
          <w:rFonts w:cs="Times New Roman"/>
          <w:bCs/>
        </w:rPr>
        <w:t>Europskog parlamenta i Vijeća od 21. svibnja 2013. o pravilima za obračun emisija i uklanjanja stakleničkih plinova koji nastaju iz djelatnosti povezanih s korištenjem zemljišta, prenamjenom zemljišta i šumarstvom te informacijama o mjerama povezanim s tim djelatnostima (</w:t>
      </w:r>
      <w:r w:rsidR="00060992" w:rsidRPr="00654E3B">
        <w:rPr>
          <w:rFonts w:cs="Times New Roman"/>
          <w:bCs/>
        </w:rPr>
        <w:t>u daljnjem tekstu</w:t>
      </w:r>
      <w:r w:rsidR="00AC6410" w:rsidRPr="00654E3B">
        <w:rPr>
          <w:rFonts w:cs="Times New Roman"/>
          <w:bCs/>
        </w:rPr>
        <w:t>: Odluka br. 529/2013/EU)</w:t>
      </w:r>
      <w:r w:rsidR="00536DED" w:rsidRPr="00654E3B">
        <w:rPr>
          <w:rFonts w:cs="Times New Roman"/>
          <w:bCs/>
        </w:rPr>
        <w:t xml:space="preserve">, </w:t>
      </w:r>
      <w:r w:rsidRPr="00654E3B">
        <w:rPr>
          <w:rFonts w:cs="Times New Roman"/>
          <w:bCs/>
        </w:rPr>
        <w:t xml:space="preserve">postavljena su pravila za obračunavanje emisijskih i jedinica ponora iz LULUCF sektora kao prvi korak za uključivanje ovih jedinica u postizanje dugoročnih ciljeva EU o smanjenju emisija stakleničkih plinova. </w:t>
      </w:r>
    </w:p>
    <w:p w:rsidR="007D4A93" w:rsidRPr="00654E3B" w:rsidRDefault="00EF0BEB">
      <w:pPr>
        <w:spacing w:line="240" w:lineRule="auto"/>
        <w:rPr>
          <w:rFonts w:cs="Times New Roman"/>
        </w:rPr>
      </w:pPr>
      <w:r w:rsidRPr="00654E3B">
        <w:rPr>
          <w:rFonts w:cs="Times New Roman"/>
          <w:bCs/>
        </w:rPr>
        <w:t>Prepoznajući ograničeni potencijal LULUCF sektora za doprinos ublažavanju klimatskih promjena, Uredbom se razrađuje i mehanizam fleksibilnosti (trgovanja jedinicama ponora)</w:t>
      </w:r>
      <w:r w:rsidR="00536DED" w:rsidRPr="00654E3B">
        <w:rPr>
          <w:rFonts w:cs="Times New Roman"/>
          <w:bCs/>
        </w:rPr>
        <w:t>,</w:t>
      </w:r>
      <w:r w:rsidRPr="00654E3B">
        <w:rPr>
          <w:rFonts w:cs="Times New Roman"/>
          <w:bCs/>
        </w:rPr>
        <w:t xml:space="preserve"> kako bi se Državama</w:t>
      </w:r>
      <w:r w:rsidR="00536DED" w:rsidRPr="00654E3B">
        <w:rPr>
          <w:rFonts w:cs="Times New Roman"/>
          <w:bCs/>
        </w:rPr>
        <w:t xml:space="preserve"> </w:t>
      </w:r>
      <w:r w:rsidRPr="00654E3B">
        <w:rPr>
          <w:rFonts w:cs="Times New Roman"/>
          <w:bCs/>
        </w:rPr>
        <w:lastRenderedPageBreak/>
        <w:t>članicama olakšalo ispunjavanje njihove obaveze o održavanju ukupnih ponora</w:t>
      </w:r>
      <w:r w:rsidR="00536DED" w:rsidRPr="00654E3B">
        <w:rPr>
          <w:rFonts w:cs="Times New Roman"/>
          <w:bCs/>
        </w:rPr>
        <w:t>,</w:t>
      </w:r>
      <w:r w:rsidRPr="00654E3B">
        <w:rPr>
          <w:rFonts w:cs="Times New Roman"/>
          <w:bCs/>
        </w:rPr>
        <w:t xml:space="preserve"> većima od ukupnih emisija za zadane obračunske kategorije zemljišta u periodu do 2030. godine.</w:t>
      </w:r>
      <w:r w:rsidRPr="00654E3B">
        <w:rPr>
          <w:rFonts w:cs="Times New Roman"/>
        </w:rPr>
        <w:t xml:space="preserve"> </w:t>
      </w:r>
    </w:p>
    <w:p w:rsidR="007D4A93" w:rsidRPr="00654E3B" w:rsidRDefault="00EF0BEB" w:rsidP="00146AEB">
      <w:pPr>
        <w:spacing w:line="240" w:lineRule="auto"/>
        <w:rPr>
          <w:rFonts w:cs="Times New Roman"/>
          <w:bCs/>
        </w:rPr>
      </w:pPr>
      <w:r w:rsidRPr="00654E3B">
        <w:rPr>
          <w:rFonts w:cs="Times New Roman"/>
          <w:bCs/>
        </w:rPr>
        <w:t xml:space="preserve">Uredbom </w:t>
      </w:r>
      <w:r w:rsidR="00146AEB" w:rsidRPr="00654E3B">
        <w:rPr>
          <w:rFonts w:cs="Times New Roman"/>
          <w:bCs/>
        </w:rPr>
        <w:t xml:space="preserve">(EU) </w:t>
      </w:r>
      <w:r w:rsidRPr="00654E3B">
        <w:rPr>
          <w:rFonts w:cs="Times New Roman"/>
          <w:bCs/>
        </w:rPr>
        <w:t>2018/841</w:t>
      </w:r>
      <w:r w:rsidR="00146AEB" w:rsidRPr="00654E3B">
        <w:rPr>
          <w:rFonts w:cs="Times New Roman"/>
          <w:bCs/>
        </w:rPr>
        <w:t xml:space="preserve"> Europskog parlamenta i Vijeća od 30. svibnja 2018. o uključivanju emisija i uklanjanja stakleničkih plinova iz korištenja zemljišta, prenamjene zemljišta i šumarstva u okvir za klimatsku i energetsku politiku do 2030.</w:t>
      </w:r>
      <w:r w:rsidR="00536DED" w:rsidRPr="00654E3B">
        <w:rPr>
          <w:rFonts w:cs="Times New Roman"/>
          <w:bCs/>
        </w:rPr>
        <w:t>,</w:t>
      </w:r>
      <w:r w:rsidR="00146AEB" w:rsidRPr="00654E3B">
        <w:rPr>
          <w:rFonts w:cs="Times New Roman"/>
          <w:bCs/>
        </w:rPr>
        <w:t xml:space="preserve"> te o izmjeni Uredbe (EU) br. 525/2013 i Odluke br. 529/2013/EU</w:t>
      </w:r>
      <w:r w:rsidR="00146AEB" w:rsidRPr="00654E3B" w:rsidDel="00146AEB">
        <w:rPr>
          <w:rFonts w:cs="Times New Roman"/>
          <w:bCs/>
        </w:rPr>
        <w:t xml:space="preserve"> </w:t>
      </w:r>
      <w:r w:rsidR="00146AEB" w:rsidRPr="00654E3B">
        <w:rPr>
          <w:rFonts w:cs="Times New Roman"/>
          <w:bCs/>
        </w:rPr>
        <w:t>(</w:t>
      </w:r>
      <w:r w:rsidR="00060992" w:rsidRPr="00654E3B">
        <w:rPr>
          <w:rFonts w:cs="Times New Roman"/>
          <w:bCs/>
        </w:rPr>
        <w:t>u daljnjem tekstu</w:t>
      </w:r>
      <w:r w:rsidR="00146AEB" w:rsidRPr="00654E3B">
        <w:rPr>
          <w:rFonts w:cs="Times New Roman"/>
          <w:bCs/>
        </w:rPr>
        <w:t>: Uredba 2018/841/EU)</w:t>
      </w:r>
      <w:r w:rsidR="00536DED" w:rsidRPr="00654E3B">
        <w:rPr>
          <w:rFonts w:cs="Times New Roman"/>
          <w:bCs/>
        </w:rPr>
        <w:t>,</w:t>
      </w:r>
      <w:r w:rsidR="00146AEB" w:rsidRPr="00654E3B">
        <w:rPr>
          <w:rFonts w:cs="Times New Roman"/>
          <w:bCs/>
        </w:rPr>
        <w:t xml:space="preserve"> </w:t>
      </w:r>
      <w:r w:rsidRPr="00654E3B">
        <w:rPr>
          <w:rFonts w:cs="Times New Roman"/>
          <w:bCs/>
        </w:rPr>
        <w:t>j</w:t>
      </w:r>
      <w:r w:rsidR="008D7D1F" w:rsidRPr="00654E3B">
        <w:rPr>
          <w:rFonts w:cs="Times New Roman"/>
          <w:bCs/>
        </w:rPr>
        <w:t>e zadržan osnovni princip tzv. „no debit rule“</w:t>
      </w:r>
      <w:r w:rsidR="00536DED" w:rsidRPr="00654E3B">
        <w:rPr>
          <w:rFonts w:cs="Times New Roman"/>
          <w:bCs/>
        </w:rPr>
        <w:t>,</w:t>
      </w:r>
      <w:r w:rsidRPr="00654E3B">
        <w:rPr>
          <w:rFonts w:cs="Times New Roman"/>
          <w:bCs/>
        </w:rPr>
        <w:t xml:space="preserve"> koji ima za cilj osigurati </w:t>
      </w:r>
      <w:r w:rsidR="00487476" w:rsidRPr="00654E3B">
        <w:rPr>
          <w:rFonts w:cs="Times New Roman"/>
          <w:bCs/>
        </w:rPr>
        <w:t xml:space="preserve">da se u sektoru LULUCF emisije </w:t>
      </w:r>
      <w:r w:rsidRPr="00654E3B">
        <w:rPr>
          <w:rFonts w:cs="Times New Roman"/>
          <w:bCs/>
        </w:rPr>
        <w:t>ne povećav</w:t>
      </w:r>
      <w:r w:rsidR="00487476" w:rsidRPr="00654E3B">
        <w:rPr>
          <w:rFonts w:cs="Times New Roman"/>
          <w:bCs/>
        </w:rPr>
        <w:t>aju</w:t>
      </w:r>
      <w:r w:rsidRPr="00654E3B">
        <w:rPr>
          <w:rFonts w:cs="Times New Roman"/>
          <w:bCs/>
        </w:rPr>
        <w:t xml:space="preserve">. </w:t>
      </w:r>
    </w:p>
    <w:p w:rsidR="007D4A93" w:rsidRPr="00654E3B" w:rsidRDefault="00EF0BEB">
      <w:pPr>
        <w:spacing w:line="240" w:lineRule="auto"/>
        <w:rPr>
          <w:rFonts w:cs="Times New Roman"/>
          <w:bCs/>
        </w:rPr>
      </w:pPr>
      <w:r w:rsidRPr="00654E3B">
        <w:rPr>
          <w:rFonts w:cs="Times New Roman"/>
          <w:bCs/>
        </w:rPr>
        <w:t>U sektoru se primjenjuju dva načina obračuna emisijskih jedinica/jedinica ponora:</w:t>
      </w:r>
    </w:p>
    <w:p w:rsidR="007D4A93" w:rsidRPr="00654E3B" w:rsidRDefault="00EF0BEB" w:rsidP="000C6795">
      <w:pPr>
        <w:numPr>
          <w:ilvl w:val="0"/>
          <w:numId w:val="28"/>
        </w:numPr>
        <w:spacing w:line="240" w:lineRule="auto"/>
        <w:rPr>
          <w:rFonts w:cs="Times New Roman"/>
          <w:bCs/>
        </w:rPr>
      </w:pPr>
      <w:r w:rsidRPr="00654E3B">
        <w:rPr>
          <w:rFonts w:cs="Times New Roman"/>
          <w:bCs/>
        </w:rPr>
        <w:t>Bruto-neto obračunavanje kada se cijeli iznos emisija i ponora u utvrđenom periodu (2021.-2025., 2026.-2030.)</w:t>
      </w:r>
      <w:r w:rsidR="00715FD3" w:rsidRPr="00654E3B">
        <w:rPr>
          <w:rFonts w:cs="Times New Roman"/>
          <w:bCs/>
        </w:rPr>
        <w:t>,</w:t>
      </w:r>
      <w:r w:rsidRPr="00654E3B">
        <w:rPr>
          <w:rFonts w:cs="Times New Roman"/>
          <w:bCs/>
        </w:rPr>
        <w:t xml:space="preserve"> uzima u obzir i ne uspoređuje s drugom, zadanom vrijednošću. Ovakva vrsta obračuna primjenjuje se u slučaju emisija/ponora pošumljenog i iskrčenog šumskog zemljišta.</w:t>
      </w:r>
    </w:p>
    <w:p w:rsidR="007D4A93" w:rsidRPr="00654E3B" w:rsidRDefault="00EF0BEB" w:rsidP="000C6795">
      <w:pPr>
        <w:numPr>
          <w:ilvl w:val="0"/>
          <w:numId w:val="28"/>
        </w:numPr>
        <w:spacing w:line="240" w:lineRule="auto"/>
        <w:rPr>
          <w:rFonts w:cs="Times New Roman"/>
          <w:bCs/>
        </w:rPr>
      </w:pPr>
      <w:r w:rsidRPr="00654E3B">
        <w:rPr>
          <w:rFonts w:cs="Times New Roman"/>
          <w:bCs/>
        </w:rPr>
        <w:t>Neto-neto obračunavanje kada se emisije/ponori u definiranom periodu uspoređuju s nekom utvrđenom vrijednošću (npr. iz bazne godine). Ovakva vrsta obračuna primjenjuje se u slučaju emisija/ponora na gospodarenom šumskom zemljištu te se koristi referentna razina za šume (FRL), gospodarenim pašnjacima i gospodarenom poljoprivrednom zemljištu. Uredba 2018/841/EU u određivanju referentne vrijednosti za šume</w:t>
      </w:r>
      <w:r w:rsidR="00A85897" w:rsidRPr="00654E3B">
        <w:rPr>
          <w:rFonts w:cs="Times New Roman"/>
          <w:bCs/>
        </w:rPr>
        <w:t>,</w:t>
      </w:r>
      <w:r w:rsidRPr="00654E3B">
        <w:rPr>
          <w:rFonts w:cs="Times New Roman"/>
          <w:bCs/>
        </w:rPr>
        <w:t xml:space="preserve"> uvažava činjenicu da </w:t>
      </w:r>
      <w:r w:rsidRPr="00654E3B">
        <w:rPr>
          <w:rFonts w:cs="Times New Roman"/>
          <w:bCs/>
          <w:szCs w:val="24"/>
        </w:rPr>
        <w:t xml:space="preserve">je </w:t>
      </w:r>
      <w:r w:rsidRPr="00654E3B">
        <w:rPr>
          <w:rFonts w:eastAsia="Times New Roman" w:cs="Times New Roman"/>
          <w:szCs w:val="24"/>
          <w:lang w:eastAsia="hr-HR"/>
        </w:rPr>
        <w:t>Republika Hrvatska</w:t>
      </w:r>
      <w:r w:rsidRPr="00654E3B">
        <w:rPr>
          <w:rFonts w:cs="Times New Roman"/>
          <w:bCs/>
          <w:szCs w:val="24"/>
        </w:rPr>
        <w:t xml:space="preserve"> ne</w:t>
      </w:r>
      <w:r w:rsidRPr="00654E3B">
        <w:rPr>
          <w:rFonts w:cs="Times New Roman"/>
          <w:bCs/>
        </w:rPr>
        <w:t xml:space="preserve"> tako davno bila pod vojnom okupacijom te da je rat imao negativan utjecaj na gospodarenje šumama u Republici Hrvatskoj. Za prvo razdoblje propisano Uredbom (od 2021. do 2025. godine)</w:t>
      </w:r>
      <w:r w:rsidR="00A85897" w:rsidRPr="00654E3B">
        <w:rPr>
          <w:rFonts w:cs="Times New Roman"/>
          <w:bCs/>
        </w:rPr>
        <w:t>,</w:t>
      </w:r>
      <w:r w:rsidRPr="00654E3B">
        <w:rPr>
          <w:rFonts w:cs="Times New Roman"/>
          <w:bCs/>
        </w:rPr>
        <w:t xml:space="preserve"> trenutno predložena vrijednost FRL za </w:t>
      </w:r>
      <w:r w:rsidRPr="00654E3B">
        <w:rPr>
          <w:rFonts w:eastAsia="Times New Roman" w:cs="Times New Roman"/>
          <w:szCs w:val="24"/>
          <w:lang w:eastAsia="hr-HR"/>
        </w:rPr>
        <w:t>Republiku Hrvatsku</w:t>
      </w:r>
      <w:r w:rsidRPr="00654E3B">
        <w:rPr>
          <w:rFonts w:cs="Times New Roman"/>
          <w:bCs/>
          <w:szCs w:val="24"/>
        </w:rPr>
        <w:t xml:space="preserve"> </w:t>
      </w:r>
      <w:r w:rsidRPr="00654E3B">
        <w:rPr>
          <w:rFonts w:cs="Times New Roman"/>
          <w:bCs/>
        </w:rPr>
        <w:t>iznosi -4,368 Mt CO</w:t>
      </w:r>
      <w:r w:rsidRPr="00654E3B">
        <w:rPr>
          <w:rFonts w:cs="Times New Roman"/>
          <w:bCs/>
          <w:vertAlign w:val="subscript"/>
        </w:rPr>
        <w:t>2</w:t>
      </w:r>
      <w:r w:rsidRPr="00654E3B">
        <w:rPr>
          <w:rFonts w:cs="Times New Roman"/>
          <w:bCs/>
        </w:rPr>
        <w:t>e. Ovdje su uključena uklanjanja i iz kategorije drvnih proizvoda, dok je vrijednost bez istih -3,906 Mt CO</w:t>
      </w:r>
      <w:r w:rsidRPr="00654E3B">
        <w:rPr>
          <w:rFonts w:cs="Times New Roman"/>
          <w:bCs/>
          <w:vertAlign w:val="subscript"/>
        </w:rPr>
        <w:t>2</w:t>
      </w:r>
      <w:r w:rsidRPr="00654E3B">
        <w:rPr>
          <w:rFonts w:cs="Times New Roman"/>
          <w:bCs/>
        </w:rPr>
        <w:t xml:space="preserve">e. </w:t>
      </w:r>
    </w:p>
    <w:p w:rsidR="007D4A93" w:rsidRPr="00654E3B" w:rsidRDefault="00D13CE4">
      <w:pPr>
        <w:spacing w:line="240" w:lineRule="auto"/>
        <w:rPr>
          <w:rFonts w:cs="Times New Roman"/>
          <w:bCs/>
        </w:rPr>
      </w:pPr>
      <w:r w:rsidRPr="00654E3B">
        <w:rPr>
          <w:rFonts w:cs="Times New Roman"/>
          <w:bCs/>
        </w:rPr>
        <w:t>Sukladno nacionalnim projekcijama emisija i uklanjanja stak</w:t>
      </w:r>
      <w:r w:rsidR="009F70A3" w:rsidRPr="00654E3B">
        <w:rPr>
          <w:rFonts w:cs="Times New Roman"/>
          <w:bCs/>
        </w:rPr>
        <w:t>leničkih plinova, jedna od moguć</w:t>
      </w:r>
      <w:r w:rsidRPr="00654E3B">
        <w:rPr>
          <w:rFonts w:cs="Times New Roman"/>
          <w:bCs/>
        </w:rPr>
        <w:t>nosti je da će se u LULUCF sektoru ponori i dalje smanjivati, tako da bi moguće uklanjanje ugljikova dioksida u 2030, godini moglo biti manje od trenutnog. Naved</w:t>
      </w:r>
      <w:r w:rsidR="009F70A3" w:rsidRPr="00654E3B">
        <w:rPr>
          <w:rFonts w:cs="Times New Roman"/>
          <w:bCs/>
        </w:rPr>
        <w:t>eno se odnosi na realni ponor</w:t>
      </w:r>
      <w:r w:rsidR="00A85897" w:rsidRPr="00654E3B">
        <w:rPr>
          <w:rFonts w:cs="Times New Roman"/>
          <w:bCs/>
        </w:rPr>
        <w:t>, š</w:t>
      </w:r>
      <w:r w:rsidRPr="00654E3B">
        <w:rPr>
          <w:rFonts w:cs="Times New Roman"/>
          <w:bCs/>
        </w:rPr>
        <w:t>to nije jednako obračunskom ponoru, prema Uredbi 2018/841 EU. Mjere u okviru ove strategije trebaju pomoći da se obračunske jedinice ponora održe kroz razdoblje do 2030. godine te da sektor LULUCF ne postane izvor emisije</w:t>
      </w:r>
      <w:r w:rsidR="00EF0BEB" w:rsidRPr="00654E3B">
        <w:rPr>
          <w:rFonts w:cs="Times New Roman"/>
          <w:bCs/>
        </w:rPr>
        <w:t xml:space="preserve">.  </w:t>
      </w:r>
    </w:p>
    <w:p w:rsidR="007D4A93" w:rsidRPr="00654E3B" w:rsidRDefault="00EF0BEB">
      <w:pPr>
        <w:spacing w:line="240" w:lineRule="auto"/>
        <w:rPr>
          <w:rFonts w:cs="Times New Roman"/>
          <w:bCs/>
        </w:rPr>
      </w:pPr>
      <w:r w:rsidRPr="00654E3B">
        <w:rPr>
          <w:rFonts w:cs="Times New Roman"/>
          <w:bCs/>
        </w:rPr>
        <w:t>Uzimajući u obzir obaveze u LULUCF sektoru definirane prema EU propisima, kontinuiran rad na unaprjeđenju izračuna emisija/ponora u ovom sektoru, te provedba analize svih LULUCF kategorija zemljišta radi prepoznavanja njihova potencijala za smanjenje emisija i povećanje ponora za svaku od kategorija zemljišta</w:t>
      </w:r>
      <w:r w:rsidR="00A85897" w:rsidRPr="00654E3B">
        <w:rPr>
          <w:rFonts w:cs="Times New Roman"/>
          <w:bCs/>
        </w:rPr>
        <w:t>,</w:t>
      </w:r>
      <w:r w:rsidRPr="00654E3B">
        <w:rPr>
          <w:rFonts w:cs="Times New Roman"/>
          <w:bCs/>
        </w:rPr>
        <w:t xml:space="preserve"> je nužnost kako bi se mehanizmi fleksibilnosti mogli koristiti na najbolji mogući način za Republiku Hrvatsku (mogućnost prijenosa (prodaja) drugim državama članicama viška jedinica ponora ili prijenos viška jedinica za period 2026-2030. godina).</w:t>
      </w:r>
    </w:p>
    <w:p w:rsidR="007D4A93" w:rsidRPr="00654E3B" w:rsidRDefault="00EF0BEB">
      <w:pPr>
        <w:spacing w:line="240" w:lineRule="auto"/>
        <w:rPr>
          <w:rFonts w:cs="Times New Roman"/>
          <w:bCs/>
        </w:rPr>
      </w:pPr>
      <w:r w:rsidRPr="00654E3B">
        <w:rPr>
          <w:rFonts w:cs="Times New Roman"/>
          <w:bCs/>
        </w:rPr>
        <w:t>LULUCF sektor obuhvaća ukupnu kopnenu površinu države, a nadležnosti nad pojedinim kategorijama zemljišta u ovom sektoru raspodijeljene su između više različitih institucija RH. Posljedično, za učinkovito planiranje mjera kojima će se osigurati smanjenje emisija, povećanje ponora i ispunjavanje obaveza definiranih Uredbom 2018/841 u periodu do 2030. odnosno 2050. godine</w:t>
      </w:r>
      <w:r w:rsidR="00A85897" w:rsidRPr="00654E3B">
        <w:rPr>
          <w:rFonts w:cs="Times New Roman"/>
          <w:bCs/>
        </w:rPr>
        <w:t>,</w:t>
      </w:r>
      <w:r w:rsidRPr="00654E3B">
        <w:rPr>
          <w:rFonts w:cs="Times New Roman"/>
          <w:bCs/>
        </w:rPr>
        <w:t xml:space="preserve"> potrebno je izraditi </w:t>
      </w:r>
      <w:r w:rsidR="00F93068" w:rsidRPr="00654E3B">
        <w:rPr>
          <w:rFonts w:cs="Times New Roman"/>
          <w:bCs/>
        </w:rPr>
        <w:t xml:space="preserve">strateške odrednice za </w:t>
      </w:r>
      <w:r w:rsidRPr="00654E3B">
        <w:rPr>
          <w:rFonts w:cs="Times New Roman"/>
          <w:bCs/>
        </w:rPr>
        <w:t>upravljanj</w:t>
      </w:r>
      <w:r w:rsidR="00F93068" w:rsidRPr="00654E3B">
        <w:rPr>
          <w:rFonts w:cs="Times New Roman"/>
          <w:bCs/>
        </w:rPr>
        <w:t>e</w:t>
      </w:r>
      <w:r w:rsidRPr="00654E3B">
        <w:rPr>
          <w:rFonts w:cs="Times New Roman"/>
          <w:bCs/>
        </w:rPr>
        <w:t xml:space="preserve"> zemljištem Republike Hrvatske. </w:t>
      </w:r>
    </w:p>
    <w:p w:rsidR="007D4A93" w:rsidRPr="00654E3B" w:rsidRDefault="00EF0BEB">
      <w:pPr>
        <w:spacing w:line="240" w:lineRule="auto"/>
        <w:rPr>
          <w:rFonts w:cs="Times New Roman"/>
        </w:rPr>
      </w:pPr>
      <w:r w:rsidRPr="00654E3B">
        <w:rPr>
          <w:rFonts w:cs="Times New Roman"/>
        </w:rPr>
        <w:t xml:space="preserve">Definiranja mjera za povećanje ponora i smanjenje emisija prilikom </w:t>
      </w:r>
      <w:r w:rsidR="00A01B59" w:rsidRPr="00654E3B">
        <w:rPr>
          <w:rFonts w:cs="Times New Roman"/>
        </w:rPr>
        <w:t xml:space="preserve">unapređenja upravljanja </w:t>
      </w:r>
      <w:r w:rsidRPr="00654E3B">
        <w:rPr>
          <w:rFonts w:cs="Times New Roman"/>
        </w:rPr>
        <w:t>zemljištem Republike Hrvatske</w:t>
      </w:r>
      <w:r w:rsidR="00A85897" w:rsidRPr="00654E3B">
        <w:rPr>
          <w:rFonts w:cs="Times New Roman"/>
        </w:rPr>
        <w:t>,</w:t>
      </w:r>
      <w:r w:rsidRPr="00654E3B">
        <w:rPr>
          <w:rFonts w:cs="Times New Roman"/>
        </w:rPr>
        <w:t xml:space="preserve"> treba uskladiti s različitim zahtjevima (proizvodnja hrane, energija biomase, očuvanje biološke raznolikosti, drvni proizvodi), pri čemu ovo pitanje postaje osobito važno kod povećanja ambicije niskougljične strategije, prema nultoj neto emisiji u slijedećim iteracijama njezine izrade. </w:t>
      </w:r>
    </w:p>
    <w:p w:rsidR="007D4A93" w:rsidRPr="00654E3B" w:rsidRDefault="00EF0BEB">
      <w:pPr>
        <w:spacing w:line="240" w:lineRule="auto"/>
        <w:rPr>
          <w:rFonts w:cs="Times New Roman"/>
        </w:rPr>
      </w:pPr>
      <w:r w:rsidRPr="00654E3B">
        <w:rPr>
          <w:rFonts w:cs="Times New Roman"/>
        </w:rPr>
        <w:t>Napominje se da planiranje mjera za smanjenje emisija i povećanja ponora uzimanjem u obzir samo emisija/ponora u jednom pohraništu (npr fitotvari (biomasi))</w:t>
      </w:r>
      <w:r w:rsidR="00A85897" w:rsidRPr="00654E3B">
        <w:rPr>
          <w:rFonts w:cs="Times New Roman"/>
        </w:rPr>
        <w:t>,</w:t>
      </w:r>
      <w:r w:rsidRPr="00654E3B">
        <w:rPr>
          <w:rFonts w:cs="Times New Roman"/>
        </w:rPr>
        <w:t xml:space="preserve"> može imati krivi učinak i rezultirati povećanjem emisija. Recimo, prenamjena travnjaka u šumsko zemljište (pošumljavanje) rezultira emisijama u slučaju pohraništa tla nakon prenamjene, s obzirom da je zaliha ugljika u ovoj kategoriji tla veća od zalihe ugljika u </w:t>
      </w:r>
      <w:r w:rsidR="00A85897" w:rsidRPr="00654E3B">
        <w:rPr>
          <w:rFonts w:cs="Times New Roman"/>
        </w:rPr>
        <w:t xml:space="preserve">šumskom </w:t>
      </w:r>
      <w:r w:rsidRPr="00654E3B">
        <w:rPr>
          <w:rFonts w:cs="Times New Roman"/>
        </w:rPr>
        <w:t xml:space="preserve">zemljištu. </w:t>
      </w:r>
    </w:p>
    <w:p w:rsidR="007D4A93" w:rsidRPr="00654E3B" w:rsidRDefault="00EF0BEB">
      <w:pPr>
        <w:spacing w:line="240" w:lineRule="auto"/>
        <w:rPr>
          <w:rFonts w:cs="Times New Roman"/>
        </w:rPr>
      </w:pPr>
      <w:r w:rsidRPr="00654E3B">
        <w:rPr>
          <w:rFonts w:cs="Times New Roman"/>
        </w:rPr>
        <w:t xml:space="preserve">Na ispunjavanje obaveza iz Uredbe 2018/841 negativan utjecaj može imati uvođenje novih praksi gospodarenja u pojedinim LULUCF kategorijama zemljišta. U slučaju iznošenja drvnog ostatka koji nastaje nakon sječe i izrade u šumi za energetske svrhe, ustanovljeno je da ova praksa ima negativan </w:t>
      </w:r>
      <w:r w:rsidRPr="00654E3B">
        <w:rPr>
          <w:rFonts w:cs="Times New Roman"/>
        </w:rPr>
        <w:lastRenderedPageBreak/>
        <w:t xml:space="preserve">utjecaj na ciklus kruženja ugljika u pohraništima u </w:t>
      </w:r>
      <w:r w:rsidRPr="00654E3B">
        <w:rPr>
          <w:rFonts w:cs="Times New Roman"/>
          <w:i/>
        </w:rPr>
        <w:t>šumskom zemljištu</w:t>
      </w:r>
      <w:r w:rsidRPr="00654E3B">
        <w:rPr>
          <w:rFonts w:cs="Times New Roman"/>
        </w:rPr>
        <w:t xml:space="preserve"> i dugoročno dovodi do smanjenja zalihe ugljika u pohraništima tla, listinca i mrtvog drva. </w:t>
      </w:r>
    </w:p>
    <w:p w:rsidR="007D4A93" w:rsidRPr="00654E3B" w:rsidRDefault="00EF0BEB">
      <w:pPr>
        <w:spacing w:line="240" w:lineRule="auto"/>
        <w:rPr>
          <w:rFonts w:cs="Times New Roman"/>
        </w:rPr>
      </w:pPr>
      <w:r w:rsidRPr="00654E3B">
        <w:rPr>
          <w:rFonts w:cs="Times New Roman"/>
        </w:rPr>
        <w:t>Detaljno poznavanje emisija/ponora do kojih dolazi u svakom pohraništu u svakoj kategoriji zemljišta</w:t>
      </w:r>
      <w:r w:rsidR="00A85897" w:rsidRPr="00654E3B">
        <w:rPr>
          <w:rFonts w:cs="Times New Roman"/>
        </w:rPr>
        <w:t>,</w:t>
      </w:r>
      <w:r w:rsidRPr="00654E3B">
        <w:rPr>
          <w:rFonts w:cs="Times New Roman"/>
        </w:rPr>
        <w:t xml:space="preserve"> je preduvjet dobrog planiranja mjera za smanjenje emisija i povećanje ponora koje trebaju biti prepoznate i činiti sastavni dio mjera Programa ruralnog razvoja Republike Hrvatske</w:t>
      </w:r>
      <w:r w:rsidR="009823B2" w:rsidRPr="00654E3B">
        <w:rPr>
          <w:rFonts w:cs="Times New Roman"/>
        </w:rPr>
        <w:t>.</w:t>
      </w:r>
    </w:p>
    <w:p w:rsidR="007D4A93" w:rsidRPr="00654E3B" w:rsidRDefault="00A01B59">
      <w:pPr>
        <w:spacing w:line="240" w:lineRule="auto"/>
        <w:rPr>
          <w:rFonts w:cs="Times New Roman"/>
        </w:rPr>
      </w:pPr>
      <w:r w:rsidRPr="00654E3B">
        <w:rPr>
          <w:rFonts w:cs="Times New Roman"/>
        </w:rPr>
        <w:t xml:space="preserve">Potrebno je unaprijediti </w:t>
      </w:r>
      <w:r w:rsidR="00EF0BEB" w:rsidRPr="00654E3B">
        <w:rPr>
          <w:rFonts w:cs="Times New Roman"/>
        </w:rPr>
        <w:t xml:space="preserve"> upravljanj</w:t>
      </w:r>
      <w:r w:rsidRPr="00654E3B">
        <w:rPr>
          <w:rFonts w:cs="Times New Roman"/>
        </w:rPr>
        <w:t>e</w:t>
      </w:r>
      <w:r w:rsidR="00EF0BEB" w:rsidRPr="00654E3B">
        <w:rPr>
          <w:rFonts w:cs="Times New Roman"/>
        </w:rPr>
        <w:t xml:space="preserve"> zemljištem</w:t>
      </w:r>
      <w:r w:rsidRPr="00654E3B">
        <w:rPr>
          <w:rFonts w:cs="Times New Roman"/>
        </w:rPr>
        <w:t xml:space="preserve"> (pokrov, uporaba zemljišta, načini gospodarenja na pojedinoj kategoriji zemljišta)</w:t>
      </w:r>
      <w:r w:rsidR="00A85897" w:rsidRPr="00654E3B">
        <w:rPr>
          <w:rFonts w:cs="Times New Roman"/>
        </w:rPr>
        <w:t>,</w:t>
      </w:r>
      <w:r w:rsidR="00EF0BEB" w:rsidRPr="00654E3B">
        <w:rPr>
          <w:rFonts w:cs="Times New Roman"/>
        </w:rPr>
        <w:t xml:space="preserve"> koj</w:t>
      </w:r>
      <w:r w:rsidRPr="00654E3B">
        <w:rPr>
          <w:rFonts w:cs="Times New Roman"/>
        </w:rPr>
        <w:t>e</w:t>
      </w:r>
      <w:r w:rsidR="00EF0BEB" w:rsidRPr="00654E3B">
        <w:rPr>
          <w:rFonts w:cs="Times New Roman"/>
        </w:rPr>
        <w:t xml:space="preserve"> bi kao polazište </w:t>
      </w:r>
      <w:r w:rsidR="00A85897" w:rsidRPr="00654E3B">
        <w:rPr>
          <w:rFonts w:cs="Times New Roman"/>
        </w:rPr>
        <w:t>,</w:t>
      </w:r>
      <w:r w:rsidR="00EF0BEB" w:rsidRPr="00654E3B">
        <w:rPr>
          <w:rFonts w:cs="Times New Roman"/>
        </w:rPr>
        <w:t xml:space="preserve"> uzimal</w:t>
      </w:r>
      <w:r w:rsidRPr="00654E3B">
        <w:rPr>
          <w:rFonts w:cs="Times New Roman"/>
        </w:rPr>
        <w:t>o</w:t>
      </w:r>
      <w:r w:rsidR="00EF0BEB" w:rsidRPr="00654E3B">
        <w:rPr>
          <w:rFonts w:cs="Times New Roman"/>
        </w:rPr>
        <w:t xml:space="preserve"> emisije/ponore u pojedinoj LULUCF kategoriji zemljišta</w:t>
      </w:r>
      <w:r w:rsidRPr="00654E3B">
        <w:rPr>
          <w:rFonts w:cs="Times New Roman"/>
        </w:rPr>
        <w:t>.</w:t>
      </w:r>
      <w:r w:rsidR="00EF0BEB" w:rsidRPr="00654E3B">
        <w:rPr>
          <w:rFonts w:cs="Times New Roman"/>
        </w:rPr>
        <w:t xml:space="preserve"> </w:t>
      </w:r>
      <w:r w:rsidRPr="00654E3B">
        <w:rPr>
          <w:rFonts w:cs="Times New Roman"/>
        </w:rPr>
        <w:t>U</w:t>
      </w:r>
      <w:r w:rsidR="00EF0BEB" w:rsidRPr="00654E3B">
        <w:rPr>
          <w:rFonts w:cs="Times New Roman"/>
        </w:rPr>
        <w:t xml:space="preserve"> </w:t>
      </w:r>
      <w:r w:rsidR="00EF0BEB" w:rsidRPr="00654E3B">
        <w:rPr>
          <w:rFonts w:eastAsia="Times New Roman" w:cs="Times New Roman"/>
          <w:szCs w:val="24"/>
          <w:lang w:eastAsia="hr-HR"/>
        </w:rPr>
        <w:t>Republici Hrvatskoj</w:t>
      </w:r>
      <w:r w:rsidR="00EF0BEB" w:rsidRPr="00654E3B">
        <w:rPr>
          <w:rFonts w:cs="Times New Roman"/>
          <w:bCs/>
          <w:szCs w:val="24"/>
        </w:rPr>
        <w:t xml:space="preserve"> </w:t>
      </w:r>
      <w:r w:rsidR="00EF0BEB" w:rsidRPr="00654E3B">
        <w:rPr>
          <w:rFonts w:cs="Times New Roman"/>
        </w:rPr>
        <w:t>je</w:t>
      </w:r>
      <w:r w:rsidRPr="00654E3B">
        <w:rPr>
          <w:rFonts w:cs="Times New Roman"/>
        </w:rPr>
        <w:t xml:space="preserve"> i dalje</w:t>
      </w:r>
      <w:r w:rsidR="00EF0BEB" w:rsidRPr="00654E3B">
        <w:rPr>
          <w:rFonts w:cs="Times New Roman"/>
        </w:rPr>
        <w:t xml:space="preserve"> potrebno provoditi prakse gospodarenja zemljištem koje su do sada rezultirale ponorima.</w:t>
      </w:r>
    </w:p>
    <w:p w:rsidR="007D4A93" w:rsidRPr="00654E3B" w:rsidRDefault="00EF0BEB">
      <w:pPr>
        <w:spacing w:line="240" w:lineRule="auto"/>
        <w:rPr>
          <w:rFonts w:cs="Times New Roman"/>
        </w:rPr>
      </w:pPr>
      <w:r w:rsidRPr="00654E3B">
        <w:rPr>
          <w:rFonts w:cs="Times New Roman"/>
        </w:rPr>
        <w:t>Za šumsko zemljište to je nastavak tradicije potrajnog (održivog) gospodarenja šumama i šumskim zemljištima u skladu sa pravilima struke i zahtjevima domaćih i međunarodnih politika. Raspoloživo, neobraslo proizvodno šumsko zemljište potrebno je koristiti za podizanje novih šuma. Površinama obraslim šumama niskih uzgojnih oblika</w:t>
      </w:r>
      <w:r w:rsidR="00A85897" w:rsidRPr="00654E3B">
        <w:rPr>
          <w:rFonts w:cs="Times New Roman"/>
        </w:rPr>
        <w:t>,</w:t>
      </w:r>
      <w:r w:rsidRPr="00654E3B">
        <w:rPr>
          <w:rFonts w:cs="Times New Roman"/>
        </w:rPr>
        <w:t xml:space="preserve"> potrebno je upravljati na način da se poveća zaliha ugljika. Gospodarenje drvnim ostacima nakon sječe i izrade u šumskim sastojinama</w:t>
      </w:r>
      <w:r w:rsidR="00A85897" w:rsidRPr="00654E3B">
        <w:rPr>
          <w:rFonts w:cs="Times New Roman"/>
        </w:rPr>
        <w:t>,</w:t>
      </w:r>
      <w:r w:rsidRPr="00654E3B">
        <w:rPr>
          <w:rFonts w:cs="Times New Roman"/>
        </w:rPr>
        <w:t xml:space="preserve"> potrebno je regulirati po provođenju znanstvenih istraživanja o utjecaju iznošenja drvnih ostataka na ciklus kruženja ugljika u šumama. Šumskim resursima potrebno je nastaviti gospodariti tako da se održe i poboljšaju njihove općekorisne funkcije (OKFŠ), zaštiti biološka raznolikost te podigne otpornost šuma na klimatske promjene. Potrebno je poticati korištenje drvnih proizvoda u tradicionalnim i novim proizvodima, te poduzimati aktivnosti osvješćivanja o važnosti drvnih proizvoda kao pohraništa ugljika, te značaj istih u smislu i dodatno izbjegnutih emisija kada se zbog uporabe ovih proizvoda izbjegnu emisije zbog proizvodnje npr. plastičnih proizvoda.</w:t>
      </w:r>
    </w:p>
    <w:p w:rsidR="007D4A93" w:rsidRPr="00654E3B" w:rsidRDefault="00EF0BEB">
      <w:pPr>
        <w:spacing w:line="240" w:lineRule="auto"/>
        <w:rPr>
          <w:rFonts w:cs="Times New Roman"/>
        </w:rPr>
      </w:pPr>
      <w:r w:rsidRPr="00654E3B">
        <w:rPr>
          <w:rFonts w:cs="Times New Roman"/>
        </w:rPr>
        <w:t>U konkurentnom poslovanju biti će sve više sustava gospodarenja, integralnih poslovnih i razvojnih projekata</w:t>
      </w:r>
      <w:r w:rsidR="00662E12" w:rsidRPr="00654E3B">
        <w:rPr>
          <w:rFonts w:cs="Times New Roman"/>
        </w:rPr>
        <w:t xml:space="preserve"> koji uvažavaju </w:t>
      </w:r>
      <w:r w:rsidR="00363F7B" w:rsidRPr="00654E3B">
        <w:rPr>
          <w:rFonts w:cs="Times New Roman"/>
        </w:rPr>
        <w:t xml:space="preserve">aspekte klimatskih promjena u pogledu povećanja ponora, smanjenja emisija te povećanja otpornosti na klimatske promjene. </w:t>
      </w:r>
      <w:r w:rsidR="00FE3855" w:rsidRPr="00654E3B">
        <w:rPr>
          <w:rFonts w:cs="Times New Roman"/>
        </w:rPr>
        <w:t xml:space="preserve">Pri </w:t>
      </w:r>
      <w:r w:rsidR="00363F7B" w:rsidRPr="00654E3B">
        <w:rPr>
          <w:rFonts w:cs="Times New Roman"/>
        </w:rPr>
        <w:t xml:space="preserve">tome je </w:t>
      </w:r>
      <w:r w:rsidR="00FE3855" w:rsidRPr="00654E3B">
        <w:rPr>
          <w:rFonts w:cs="Times New Roman"/>
        </w:rPr>
        <w:t xml:space="preserve">važno </w:t>
      </w:r>
      <w:r w:rsidR="00363F7B" w:rsidRPr="00654E3B">
        <w:rPr>
          <w:rFonts w:cs="Times New Roman"/>
        </w:rPr>
        <w:t>međusektorsko djelovanje, usklađivanje i postizanje sinergije</w:t>
      </w:r>
      <w:r w:rsidRPr="00654E3B">
        <w:rPr>
          <w:rFonts w:cs="Times New Roman"/>
        </w:rPr>
        <w:t xml:space="preserve">, s visokim stupnjem informacija o stanju šuma, inventaru, ugroženosti i projekcijama trendova. </w:t>
      </w:r>
    </w:p>
    <w:p w:rsidR="007D4A93" w:rsidRPr="00654E3B" w:rsidRDefault="00EF0BEB">
      <w:pPr>
        <w:spacing w:line="240" w:lineRule="auto"/>
        <w:rPr>
          <w:rFonts w:cs="Times New Roman"/>
        </w:rPr>
      </w:pPr>
      <w:r w:rsidRPr="00654E3B">
        <w:rPr>
          <w:rFonts w:cs="Times New Roman"/>
        </w:rPr>
        <w:t>Potrebno je regulirati izvoz drvne sirovine</w:t>
      </w:r>
      <w:r w:rsidR="00FE3855" w:rsidRPr="00654E3B">
        <w:rPr>
          <w:rFonts w:cs="Times New Roman"/>
        </w:rPr>
        <w:t>,</w:t>
      </w:r>
      <w:r w:rsidRPr="00654E3B">
        <w:rPr>
          <w:rFonts w:cs="Times New Roman"/>
        </w:rPr>
        <w:t xml:space="preserve"> poluobrađenog drva u cilju poticanja finalizacija domaće drvne industrije te energetskog drva</w:t>
      </w:r>
      <w:r w:rsidR="00FE3855" w:rsidRPr="00654E3B">
        <w:rPr>
          <w:rFonts w:cs="Times New Roman"/>
        </w:rPr>
        <w:t>,</w:t>
      </w:r>
      <w:r w:rsidRPr="00654E3B">
        <w:rPr>
          <w:rFonts w:cs="Times New Roman"/>
        </w:rPr>
        <w:t xml:space="preserve"> imajući u vidu da to nepovoljno utječe na bilancu korištenja obnovljivih izvora energije.</w:t>
      </w:r>
    </w:p>
    <w:p w:rsidR="007D4A93" w:rsidRPr="00654E3B" w:rsidRDefault="00EF0BEB">
      <w:pPr>
        <w:spacing w:line="240" w:lineRule="auto"/>
        <w:rPr>
          <w:rFonts w:cs="Times New Roman"/>
        </w:rPr>
      </w:pPr>
      <w:r w:rsidRPr="00654E3B">
        <w:rPr>
          <w:rFonts w:cs="Times New Roman"/>
        </w:rPr>
        <w:t xml:space="preserve">U razdoblju do 2030. i 2050. godine potrebno je osigurati financijska sredstva za tehničke projekte i znanstvena istraživanja povezana s LULUCF kategorijama zemljišta i emisijama/ponorima u ovom sektoru, te rezultate istraživanja koristiti za planiranje mjera i buduće politike klimatskih promjena u </w:t>
      </w:r>
      <w:r w:rsidRPr="00654E3B">
        <w:rPr>
          <w:rFonts w:eastAsia="Times New Roman" w:cs="Times New Roman"/>
          <w:szCs w:val="24"/>
          <w:lang w:eastAsia="hr-HR"/>
        </w:rPr>
        <w:t>Republici Hrvatskoj</w:t>
      </w:r>
      <w:r w:rsidRPr="00654E3B">
        <w:rPr>
          <w:rFonts w:cs="Times New Roman"/>
        </w:rPr>
        <w:t xml:space="preserve"> u razdoblju do 2030. i 2050. godine. </w:t>
      </w:r>
    </w:p>
    <w:p w:rsidR="00AB40C9" w:rsidRPr="00654E3B" w:rsidRDefault="00EF0BEB">
      <w:pPr>
        <w:spacing w:line="240" w:lineRule="auto"/>
        <w:rPr>
          <w:rFonts w:cs="Times New Roman"/>
        </w:rPr>
      </w:pPr>
      <w:r w:rsidRPr="00654E3B">
        <w:rPr>
          <w:rFonts w:cs="Times New Roman"/>
        </w:rPr>
        <w:t>Smjernice budućeg razvoja LULUCF sektora definirane strategijom niskougljičnog razvoja trebaju osigurati postizanje dugoročnog cilja za ovaj sektor - ukupni ponori trebaju biti veći od ukupnih emisija iz obračunskih kategorija zemljišta.</w:t>
      </w:r>
    </w:p>
    <w:p w:rsidR="007D4A93" w:rsidRPr="00654E3B" w:rsidRDefault="00EF0BEB" w:rsidP="009F6651">
      <w:pPr>
        <w:pStyle w:val="Heading3"/>
      </w:pPr>
      <w:bookmarkStart w:id="284" w:name="_Toc69810195"/>
      <w:r w:rsidRPr="00654E3B">
        <w:t>6.8.3. Smjernice za niskougljični razvoj</w:t>
      </w:r>
      <w:bookmarkEnd w:id="284"/>
    </w:p>
    <w:p w:rsidR="007D4A93" w:rsidRPr="00654E3B" w:rsidRDefault="007D4A93">
      <w:pPr>
        <w:rPr>
          <w:rFonts w:cs="Times New Roman"/>
        </w:rPr>
      </w:pPr>
    </w:p>
    <w:p w:rsidR="007D4A93" w:rsidRPr="00654E3B" w:rsidRDefault="00EF0BEB">
      <w:pPr>
        <w:spacing w:line="240" w:lineRule="auto"/>
        <w:rPr>
          <w:rFonts w:cs="Times New Roman"/>
          <w:u w:val="single"/>
        </w:rPr>
      </w:pPr>
      <w:r w:rsidRPr="00654E3B">
        <w:rPr>
          <w:rFonts w:cs="Times New Roman"/>
          <w:u w:val="single"/>
        </w:rPr>
        <w:t>Do 2030. godine</w:t>
      </w:r>
    </w:p>
    <w:p w:rsidR="007D4A93" w:rsidRPr="00654E3B" w:rsidRDefault="00EF0BEB" w:rsidP="000C6795">
      <w:pPr>
        <w:numPr>
          <w:ilvl w:val="0"/>
          <w:numId w:val="29"/>
        </w:numPr>
        <w:spacing w:line="240" w:lineRule="auto"/>
        <w:rPr>
          <w:rFonts w:cs="Times New Roman"/>
        </w:rPr>
      </w:pPr>
      <w:r w:rsidRPr="00654E3B">
        <w:rPr>
          <w:rFonts w:cs="Times New Roman"/>
        </w:rPr>
        <w:t>Kontinuirano raditi na unapređenju izračuna emisija/ponora u LULUCF sektoru kroz provedbu različitih projekata čiji rezultati omogućavaju primjenu više razine IPCC metodologije (Tier 2, Tier 3) u izračunu emisija/ponora.</w:t>
      </w:r>
    </w:p>
    <w:p w:rsidR="007D4A93" w:rsidRPr="00654E3B" w:rsidRDefault="006375AA" w:rsidP="000C6795">
      <w:pPr>
        <w:numPr>
          <w:ilvl w:val="0"/>
          <w:numId w:val="29"/>
        </w:numPr>
        <w:spacing w:line="240" w:lineRule="auto"/>
        <w:rPr>
          <w:rFonts w:cs="Times New Roman"/>
        </w:rPr>
      </w:pPr>
      <w:r w:rsidRPr="00654E3B">
        <w:rPr>
          <w:rFonts w:cs="Times New Roman"/>
        </w:rPr>
        <w:t>U suradnji nadležnih tijela r</w:t>
      </w:r>
      <w:r w:rsidR="00EF0BEB" w:rsidRPr="00654E3B">
        <w:rPr>
          <w:rFonts w:cs="Times New Roman"/>
        </w:rPr>
        <w:t xml:space="preserve">azviti </w:t>
      </w:r>
      <w:r w:rsidRPr="00654E3B">
        <w:rPr>
          <w:rFonts w:cs="Times New Roman"/>
        </w:rPr>
        <w:t>smjernice za</w:t>
      </w:r>
      <w:r w:rsidR="00EF0BEB" w:rsidRPr="00654E3B">
        <w:rPr>
          <w:rFonts w:cs="Times New Roman"/>
        </w:rPr>
        <w:t xml:space="preserve"> </w:t>
      </w:r>
      <w:r w:rsidRPr="00654E3B">
        <w:rPr>
          <w:rFonts w:cs="Times New Roman"/>
        </w:rPr>
        <w:t xml:space="preserve">upravljanje </w:t>
      </w:r>
      <w:r w:rsidR="00EF0BEB" w:rsidRPr="00654E3B">
        <w:rPr>
          <w:rFonts w:cs="Times New Roman"/>
        </w:rPr>
        <w:t xml:space="preserve">zemljištem </w:t>
      </w:r>
      <w:r w:rsidR="00BA35C4" w:rsidRPr="00654E3B">
        <w:rPr>
          <w:rFonts w:cs="Times New Roman"/>
        </w:rPr>
        <w:t xml:space="preserve">s ciljem povećanja ponora </w:t>
      </w:r>
      <w:r w:rsidR="00EF0BEB" w:rsidRPr="00654E3B">
        <w:rPr>
          <w:rFonts w:cs="Times New Roman"/>
        </w:rPr>
        <w:t>u Republici Hrvatskoj. Preduvjeti za</w:t>
      </w:r>
      <w:r w:rsidR="009823B2" w:rsidRPr="00654E3B">
        <w:rPr>
          <w:rFonts w:cs="Times New Roman"/>
        </w:rPr>
        <w:t xml:space="preserve"> njihov</w:t>
      </w:r>
      <w:r w:rsidR="00EF0BEB" w:rsidRPr="00654E3B">
        <w:rPr>
          <w:rFonts w:cs="Times New Roman"/>
        </w:rPr>
        <w:t xml:space="preserve"> razvoj su:</w:t>
      </w:r>
    </w:p>
    <w:p w:rsidR="007D4A93" w:rsidRPr="00654E3B" w:rsidRDefault="00EF0BEB" w:rsidP="000C6795">
      <w:pPr>
        <w:numPr>
          <w:ilvl w:val="1"/>
          <w:numId w:val="82"/>
        </w:numPr>
        <w:spacing w:line="240" w:lineRule="auto"/>
        <w:rPr>
          <w:rFonts w:cs="Times New Roman"/>
        </w:rPr>
      </w:pPr>
      <w:r w:rsidRPr="00654E3B">
        <w:rPr>
          <w:rFonts w:cs="Times New Roman"/>
        </w:rPr>
        <w:t>razviti jedinstveni informacijski sustav zemljišta u Republici Hrvatskoj ili utvrditi površine pojedine LULUCF kategorije zemljišta upotrebom prostorno točno utvrđenih podataka, za svaku kategoriju zemljišta te za svaku vrste prenamjene zemljišta iz jedne kategorije zemljišta u drugu</w:t>
      </w:r>
    </w:p>
    <w:p w:rsidR="007D4A93" w:rsidRPr="00654E3B" w:rsidRDefault="00EF0BEB" w:rsidP="000C6795">
      <w:pPr>
        <w:numPr>
          <w:ilvl w:val="1"/>
          <w:numId w:val="82"/>
        </w:numPr>
        <w:spacing w:line="240" w:lineRule="auto"/>
        <w:rPr>
          <w:rFonts w:cs="Times New Roman"/>
        </w:rPr>
      </w:pPr>
      <w:r w:rsidRPr="00654E3B">
        <w:rPr>
          <w:rFonts w:cs="Times New Roman"/>
        </w:rPr>
        <w:t>provesti a</w:t>
      </w:r>
      <w:r w:rsidRPr="00654E3B">
        <w:rPr>
          <w:rFonts w:cs="Times New Roman"/>
          <w:bCs/>
        </w:rPr>
        <w:t xml:space="preserve">nalizu svih LULUCF kategorija zemljišta u ovisnosti o pokrovu, uporabi zemljišta te praksama gospodarenja koje se na svakom zemljištu koriste i s time </w:t>
      </w:r>
      <w:r w:rsidRPr="00654E3B">
        <w:rPr>
          <w:rFonts w:cs="Times New Roman"/>
          <w:bCs/>
        </w:rPr>
        <w:lastRenderedPageBreak/>
        <w:t>povezanim emisijama/ponorima radi razmatranja potencijala svakog od pohraništa</w:t>
      </w:r>
      <w:r w:rsidR="00FE3855" w:rsidRPr="00654E3B">
        <w:rPr>
          <w:rFonts w:cs="Times New Roman"/>
          <w:bCs/>
        </w:rPr>
        <w:t>,</w:t>
      </w:r>
      <w:r w:rsidRPr="00654E3B">
        <w:rPr>
          <w:rFonts w:cs="Times New Roman"/>
          <w:bCs/>
        </w:rPr>
        <w:t xml:space="preserve"> unutar svake LULUCF kategorije zemljišta za smanjenje emisija i povećanje ponora stakleničkih plinova</w:t>
      </w:r>
    </w:p>
    <w:p w:rsidR="007D4A93" w:rsidRPr="00654E3B" w:rsidRDefault="00EF0BEB" w:rsidP="000C6795">
      <w:pPr>
        <w:numPr>
          <w:ilvl w:val="1"/>
          <w:numId w:val="82"/>
        </w:numPr>
        <w:spacing w:line="240" w:lineRule="auto"/>
        <w:rPr>
          <w:rFonts w:cs="Times New Roman"/>
        </w:rPr>
      </w:pPr>
      <w:r w:rsidRPr="00654E3B">
        <w:rPr>
          <w:rFonts w:cs="Times New Roman"/>
          <w:bCs/>
        </w:rPr>
        <w:t xml:space="preserve">razviti detaljne projekcije razvoja budućih emisija/ponora u LULUCF sektoru po provedbi više navedene analize. </w:t>
      </w:r>
    </w:p>
    <w:p w:rsidR="007D4A93" w:rsidRPr="00654E3B" w:rsidRDefault="00EF0BEB" w:rsidP="000C6795">
      <w:pPr>
        <w:numPr>
          <w:ilvl w:val="0"/>
          <w:numId w:val="57"/>
        </w:numPr>
        <w:spacing w:line="240" w:lineRule="auto"/>
        <w:rPr>
          <w:rFonts w:cs="Times New Roman"/>
        </w:rPr>
      </w:pPr>
      <w:r w:rsidRPr="00654E3B">
        <w:rPr>
          <w:rFonts w:cs="Times New Roman"/>
        </w:rPr>
        <w:t>Po provedenoj više navedenoj analizi</w:t>
      </w:r>
      <w:r w:rsidR="00FE3855" w:rsidRPr="00654E3B">
        <w:rPr>
          <w:rFonts w:cs="Times New Roman"/>
        </w:rPr>
        <w:t>,</w:t>
      </w:r>
      <w:r w:rsidRPr="00654E3B">
        <w:rPr>
          <w:rFonts w:cs="Times New Roman"/>
        </w:rPr>
        <w:t xml:space="preserve"> definirati aktivnosti za smanjenje emisija/povećanje ponora za svaku od kategorija zemljišta i pripadajuća pohraništa, te definirati rokove za provedbu definiranih aktivnosti. Navedeno treba činiti sastavni dio </w:t>
      </w:r>
      <w:r w:rsidR="006C62B1" w:rsidRPr="00654E3B">
        <w:rPr>
          <w:rFonts w:cs="Times New Roman"/>
        </w:rPr>
        <w:t xml:space="preserve">sustava </w:t>
      </w:r>
      <w:r w:rsidRPr="00654E3B">
        <w:rPr>
          <w:rFonts w:cs="Times New Roman"/>
        </w:rPr>
        <w:t>upravljanja zemljištem Republike Hrvatske.</w:t>
      </w:r>
    </w:p>
    <w:p w:rsidR="007D4A93" w:rsidRPr="00654E3B" w:rsidRDefault="00EF0BEB" w:rsidP="000C6795">
      <w:pPr>
        <w:numPr>
          <w:ilvl w:val="0"/>
          <w:numId w:val="29"/>
        </w:numPr>
        <w:spacing w:line="240" w:lineRule="auto"/>
        <w:rPr>
          <w:rFonts w:cs="Times New Roman"/>
        </w:rPr>
      </w:pPr>
      <w:r w:rsidRPr="00654E3B">
        <w:rPr>
          <w:rFonts w:cs="Times New Roman"/>
        </w:rPr>
        <w:t xml:space="preserve">Provesti odabrane aktivnosti/ definirane u </w:t>
      </w:r>
      <w:r w:rsidR="00E56BCD" w:rsidRPr="00654E3B">
        <w:rPr>
          <w:rFonts w:cs="Times New Roman"/>
        </w:rPr>
        <w:t>mjeri unapređenja sustava upravljanja zemljištem Republike Hrvatske zbog</w:t>
      </w:r>
      <w:r w:rsidRPr="00654E3B">
        <w:rPr>
          <w:rFonts w:cs="Times New Roman"/>
        </w:rPr>
        <w:t xml:space="preserve"> smanjenja/zadržavanja emisija i povećanja/zadržavanja ponora stakleničkih plinova u LULUCF sektoru.</w:t>
      </w:r>
    </w:p>
    <w:p w:rsidR="007D4A93" w:rsidRPr="00654E3B" w:rsidRDefault="0048799C" w:rsidP="000C6795">
      <w:pPr>
        <w:numPr>
          <w:ilvl w:val="0"/>
          <w:numId w:val="29"/>
        </w:numPr>
        <w:spacing w:line="240" w:lineRule="auto"/>
        <w:rPr>
          <w:rFonts w:cs="Times New Roman"/>
        </w:rPr>
      </w:pPr>
      <w:r w:rsidRPr="00654E3B">
        <w:rPr>
          <w:rFonts w:cs="Times New Roman"/>
        </w:rPr>
        <w:t>U okviru potrajnog gospodarenja šumama, u</w:t>
      </w:r>
      <w:r w:rsidR="00EF0BEB" w:rsidRPr="00654E3B">
        <w:rPr>
          <w:rFonts w:cs="Times New Roman"/>
        </w:rPr>
        <w:t xml:space="preserve">vođenje novih praksi gospodarenja u </w:t>
      </w:r>
      <w:r w:rsidR="00FE3855" w:rsidRPr="00654E3B">
        <w:rPr>
          <w:rFonts w:cs="Times New Roman"/>
        </w:rPr>
        <w:t xml:space="preserve">šumama, </w:t>
      </w:r>
      <w:r w:rsidR="00EF0BEB" w:rsidRPr="00654E3B">
        <w:rPr>
          <w:rFonts w:cs="Times New Roman"/>
        </w:rPr>
        <w:t>uvjetovati provedbom znanstvenih radova kojima se dokazuje pozitivan učinak novih praksi gospodarenja na ciklus kruženja ugljika u pohraništima u šumama, te posljedično na emisije i ponore u kategoriji Šumskog zemljišta.</w:t>
      </w:r>
    </w:p>
    <w:p w:rsidR="007D4A93" w:rsidRPr="00654E3B" w:rsidRDefault="00EF0BEB" w:rsidP="000C6795">
      <w:pPr>
        <w:numPr>
          <w:ilvl w:val="0"/>
          <w:numId w:val="29"/>
        </w:numPr>
        <w:spacing w:line="240" w:lineRule="auto"/>
        <w:rPr>
          <w:rFonts w:cs="Times New Roman"/>
        </w:rPr>
      </w:pPr>
      <w:r w:rsidRPr="00654E3B">
        <w:rPr>
          <w:rFonts w:cs="Times New Roman"/>
        </w:rPr>
        <w:t xml:space="preserve">Na nacionalnoj razini unaprijediti i harmonizirati propise iz sektora šumarstva, poljoprivrede i zaštite okoliša radi postizanja ciljeva definiranih EU politikom u dijelu klimatskih promjena. </w:t>
      </w:r>
    </w:p>
    <w:p w:rsidR="007D4A93" w:rsidRPr="00654E3B" w:rsidRDefault="00EF0BEB" w:rsidP="000C6795">
      <w:pPr>
        <w:numPr>
          <w:ilvl w:val="0"/>
          <w:numId w:val="29"/>
        </w:numPr>
        <w:spacing w:line="240" w:lineRule="auto"/>
        <w:rPr>
          <w:rFonts w:cs="Times New Roman"/>
        </w:rPr>
      </w:pPr>
      <w:r w:rsidRPr="00654E3B">
        <w:rPr>
          <w:rFonts w:cs="Times New Roman"/>
        </w:rPr>
        <w:t>Provesti analizu učinkovitosti provedenih mjera i aktivnosti iz trenutno važećeg Programa ruralnog razvoja Republike Hrvatske za razdoblje 2014. – 2020.</w:t>
      </w:r>
      <w:r w:rsidR="004308A6" w:rsidRPr="00654E3B">
        <w:rPr>
          <w:rFonts w:cs="Times New Roman"/>
        </w:rPr>
        <w:t>,</w:t>
      </w:r>
      <w:r w:rsidRPr="00654E3B">
        <w:rPr>
          <w:rFonts w:cs="Times New Roman"/>
        </w:rPr>
        <w:t xml:space="preserve"> kao i programa za novo razdoblje (2021.-2027.) za poljoprivredni i šumarski sektor i mjera definiranih u studiji za ispunjavanje obaveza po članku 10. Odluke</w:t>
      </w:r>
      <w:r w:rsidR="00AC6410" w:rsidRPr="00654E3B">
        <w:rPr>
          <w:rFonts w:cs="Times New Roman"/>
        </w:rPr>
        <w:t xml:space="preserve"> br.</w:t>
      </w:r>
      <w:r w:rsidRPr="00654E3B">
        <w:rPr>
          <w:rFonts w:cs="Times New Roman"/>
        </w:rPr>
        <w:t xml:space="preserve"> 529/2013/EU</w:t>
      </w:r>
      <w:r w:rsidR="004308A6" w:rsidRPr="00654E3B">
        <w:rPr>
          <w:rFonts w:cs="Times New Roman"/>
        </w:rPr>
        <w:t>,</w:t>
      </w:r>
      <w:r w:rsidRPr="00654E3B">
        <w:rPr>
          <w:rFonts w:cs="Times New Roman"/>
        </w:rPr>
        <w:t xml:space="preserve"> na smanjenje/zadržavanje emisija i povećanje/zadržavanje ponora stakleničkih plinova radi izrade novih smjernica i definiranja mjera u šumarskom i poljoprivrednom sektoru za financiranje u Programu ruralnog razvoja Republike Hrvatske u razdoblju nakon 2027. godine.</w:t>
      </w:r>
    </w:p>
    <w:p w:rsidR="007D4A93" w:rsidRPr="00654E3B" w:rsidRDefault="00EF0BEB" w:rsidP="000C6795">
      <w:pPr>
        <w:numPr>
          <w:ilvl w:val="0"/>
          <w:numId w:val="29"/>
        </w:numPr>
        <w:spacing w:line="240" w:lineRule="auto"/>
        <w:rPr>
          <w:rFonts w:cs="Times New Roman"/>
        </w:rPr>
      </w:pPr>
      <w:r w:rsidRPr="00654E3B">
        <w:rPr>
          <w:rFonts w:cs="Times New Roman"/>
        </w:rPr>
        <w:t xml:space="preserve">Provoditi znanstvena istraživanja za potrebe unapređenje gospodarenja svim LULUCF kategorijama zemljišta u cilju smanjenja emisija i povećanja ponora. </w:t>
      </w:r>
    </w:p>
    <w:p w:rsidR="007D4A93" w:rsidRPr="00654E3B" w:rsidRDefault="00EF0BEB" w:rsidP="000C6795">
      <w:pPr>
        <w:numPr>
          <w:ilvl w:val="0"/>
          <w:numId w:val="29"/>
        </w:numPr>
        <w:spacing w:line="240" w:lineRule="auto"/>
        <w:rPr>
          <w:rFonts w:cs="Times New Roman"/>
        </w:rPr>
      </w:pPr>
      <w:r w:rsidRPr="00654E3B">
        <w:rPr>
          <w:rFonts w:cs="Times New Roman"/>
        </w:rPr>
        <w:t>Provoditi pošumljavanja u skladu sa šumskogospodarskim planovima</w:t>
      </w:r>
      <w:r w:rsidR="004308A6" w:rsidRPr="00654E3B">
        <w:rPr>
          <w:rFonts w:cs="Times New Roman"/>
        </w:rPr>
        <w:t>.</w:t>
      </w:r>
    </w:p>
    <w:p w:rsidR="007D4A93" w:rsidRPr="00654E3B" w:rsidRDefault="00EF0BEB" w:rsidP="000C6795">
      <w:pPr>
        <w:numPr>
          <w:ilvl w:val="0"/>
          <w:numId w:val="29"/>
        </w:numPr>
        <w:spacing w:line="240" w:lineRule="auto"/>
        <w:rPr>
          <w:rFonts w:cs="Times New Roman"/>
        </w:rPr>
      </w:pPr>
      <w:r w:rsidRPr="00654E3B">
        <w:rPr>
          <w:rFonts w:cs="Times New Roman"/>
        </w:rPr>
        <w:t xml:space="preserve">Ocijeniti učinak pošumljavanja neobraslog, proizvodnog šumskog zemljišta na ispunjavanje obaveza </w:t>
      </w:r>
      <w:r w:rsidRPr="00654E3B">
        <w:rPr>
          <w:rFonts w:eastAsia="Times New Roman" w:cs="Times New Roman"/>
          <w:szCs w:val="24"/>
          <w:lang w:eastAsia="hr-HR"/>
        </w:rPr>
        <w:t>Republike Hrvatske</w:t>
      </w:r>
      <w:r w:rsidRPr="00654E3B">
        <w:rPr>
          <w:rFonts w:cs="Times New Roman"/>
          <w:bCs/>
          <w:szCs w:val="24"/>
        </w:rPr>
        <w:t xml:space="preserve"> </w:t>
      </w:r>
      <w:r w:rsidRPr="00654E3B">
        <w:rPr>
          <w:rFonts w:cs="Times New Roman"/>
        </w:rPr>
        <w:t>povezanih s korištenjem obnovljivih izvora energije.</w:t>
      </w:r>
    </w:p>
    <w:p w:rsidR="007D4A93" w:rsidRPr="00654E3B" w:rsidRDefault="00EF0BEB" w:rsidP="000C6795">
      <w:pPr>
        <w:numPr>
          <w:ilvl w:val="0"/>
          <w:numId w:val="29"/>
        </w:numPr>
        <w:spacing w:line="240" w:lineRule="auto"/>
        <w:rPr>
          <w:rFonts w:cs="Times New Roman"/>
        </w:rPr>
      </w:pPr>
      <w:r w:rsidRPr="00654E3B">
        <w:rPr>
          <w:rFonts w:cs="Times New Roman"/>
        </w:rPr>
        <w:t xml:space="preserve">Unaprijediti </w:t>
      </w:r>
      <w:r w:rsidR="004308A6" w:rsidRPr="00654E3B">
        <w:rPr>
          <w:rFonts w:cs="Times New Roman"/>
        </w:rPr>
        <w:t xml:space="preserve">planiranje </w:t>
      </w:r>
      <w:r w:rsidRPr="00654E3B">
        <w:rPr>
          <w:rFonts w:cs="Times New Roman"/>
        </w:rPr>
        <w:t>zaštite šuma od požara.</w:t>
      </w:r>
    </w:p>
    <w:p w:rsidR="007D4A93" w:rsidRPr="00654E3B" w:rsidRDefault="00EF0BEB" w:rsidP="000C6795">
      <w:pPr>
        <w:numPr>
          <w:ilvl w:val="0"/>
          <w:numId w:val="29"/>
        </w:numPr>
        <w:spacing w:line="240" w:lineRule="auto"/>
        <w:rPr>
          <w:rFonts w:cs="Times New Roman"/>
        </w:rPr>
      </w:pPr>
      <w:r w:rsidRPr="00654E3B">
        <w:rPr>
          <w:rFonts w:cs="Times New Roman"/>
        </w:rPr>
        <w:t>Promicati načine gospodarenja površinama šuma, pašnjaka i površina poljoprivrednog zemljišta koje su korisne za klimu i okoliš.</w:t>
      </w:r>
    </w:p>
    <w:p w:rsidR="007D4A93" w:rsidRPr="00654E3B" w:rsidRDefault="00EF0BEB">
      <w:pPr>
        <w:spacing w:line="240" w:lineRule="auto"/>
        <w:rPr>
          <w:rFonts w:cs="Times New Roman"/>
          <w:u w:val="single"/>
        </w:rPr>
      </w:pPr>
      <w:r w:rsidRPr="00654E3B">
        <w:rPr>
          <w:rFonts w:cs="Times New Roman"/>
          <w:u w:val="single"/>
        </w:rPr>
        <w:t>Do 2050. godine</w:t>
      </w:r>
    </w:p>
    <w:p w:rsidR="007D4A93" w:rsidRPr="00654E3B" w:rsidRDefault="00EF0BEB" w:rsidP="000C6795">
      <w:pPr>
        <w:numPr>
          <w:ilvl w:val="0"/>
          <w:numId w:val="30"/>
        </w:numPr>
        <w:spacing w:line="240" w:lineRule="auto"/>
        <w:rPr>
          <w:rFonts w:cs="Times New Roman"/>
        </w:rPr>
      </w:pPr>
      <w:r w:rsidRPr="00654E3B">
        <w:rPr>
          <w:rFonts w:cs="Times New Roman"/>
        </w:rPr>
        <w:t>Analiza i ocjena učinaka provedenih mjera u različitim periodima za smanjenje/zadržavanje emisija stakleničkih plinova i povećanje/zadržavanje zalihe ugljika u pohraništima ugljika.</w:t>
      </w:r>
    </w:p>
    <w:p w:rsidR="007D4A93" w:rsidRPr="00654E3B" w:rsidRDefault="00EF0BEB" w:rsidP="000C6795">
      <w:pPr>
        <w:numPr>
          <w:ilvl w:val="0"/>
          <w:numId w:val="30"/>
        </w:numPr>
        <w:spacing w:line="240" w:lineRule="auto"/>
        <w:rPr>
          <w:rFonts w:cs="Times New Roman"/>
        </w:rPr>
      </w:pPr>
      <w:r w:rsidRPr="00654E3B">
        <w:rPr>
          <w:rFonts w:cs="Times New Roman"/>
        </w:rPr>
        <w:t xml:space="preserve">Izrada smjernica daljnjeg razvoja u LULUCF sektoru temeljem znanja i iskustava stečenih </w:t>
      </w:r>
      <w:r w:rsidR="00E56BCD" w:rsidRPr="00654E3B">
        <w:rPr>
          <w:rFonts w:cs="Times New Roman"/>
        </w:rPr>
        <w:t xml:space="preserve"> iz sustava</w:t>
      </w:r>
      <w:r w:rsidRPr="00654E3B">
        <w:rPr>
          <w:rFonts w:cs="Times New Roman"/>
        </w:rPr>
        <w:t xml:space="preserve"> upravljanja zemljištem i definiranim aktivnostima i mjerama za smanjenje emisija i povećanje ponora.</w:t>
      </w:r>
    </w:p>
    <w:p w:rsidR="007D4A93" w:rsidRPr="00654E3B" w:rsidRDefault="00EF0BEB" w:rsidP="000C6795">
      <w:pPr>
        <w:numPr>
          <w:ilvl w:val="0"/>
          <w:numId w:val="30"/>
        </w:numPr>
        <w:spacing w:line="240" w:lineRule="auto"/>
        <w:rPr>
          <w:rFonts w:cs="Times New Roman"/>
        </w:rPr>
      </w:pPr>
      <w:r w:rsidRPr="00654E3B">
        <w:rPr>
          <w:rFonts w:cs="Times New Roman"/>
        </w:rPr>
        <w:t xml:space="preserve">Izrada smjernica za unapređenje načina gospodarenja šumama i izrada plana provedbe aktivnosti gospodarenja šumama na način kojim se povećavaju </w:t>
      </w:r>
      <w:r w:rsidR="00BF4CA8" w:rsidRPr="00654E3B">
        <w:rPr>
          <w:rFonts w:cs="Times New Roman"/>
        </w:rPr>
        <w:t>ponori</w:t>
      </w:r>
      <w:r w:rsidRPr="00654E3B">
        <w:rPr>
          <w:rFonts w:cs="Times New Roman"/>
        </w:rPr>
        <w:t xml:space="preserve"> u šumama.</w:t>
      </w:r>
    </w:p>
    <w:p w:rsidR="007D4A93" w:rsidRPr="00654E3B" w:rsidRDefault="00EF0BEB" w:rsidP="000C6795">
      <w:pPr>
        <w:numPr>
          <w:ilvl w:val="0"/>
          <w:numId w:val="30"/>
        </w:numPr>
        <w:spacing w:line="240" w:lineRule="auto"/>
        <w:rPr>
          <w:rFonts w:cs="Times New Roman"/>
        </w:rPr>
      </w:pPr>
      <w:r w:rsidRPr="00654E3B">
        <w:rPr>
          <w:rFonts w:cs="Times New Roman"/>
        </w:rPr>
        <w:t>Osiguranje financijskih sredstava za tehničke projekte i znanstvena istraživanja povezana s LULUCF kategorijama zemljišta i emisijama/</w:t>
      </w:r>
      <w:r w:rsidR="00BF4CA8" w:rsidRPr="00654E3B">
        <w:rPr>
          <w:rFonts w:cs="Times New Roman"/>
        </w:rPr>
        <w:t>ponorima</w:t>
      </w:r>
      <w:r w:rsidRPr="00654E3B">
        <w:rPr>
          <w:rFonts w:cs="Times New Roman"/>
        </w:rPr>
        <w:t xml:space="preserve"> u ovom sektoru.</w:t>
      </w:r>
    </w:p>
    <w:p w:rsidR="007D4A93" w:rsidRPr="00D27803" w:rsidRDefault="00EF0BEB" w:rsidP="00AB40C9">
      <w:pPr>
        <w:pStyle w:val="Heading1"/>
        <w:rPr>
          <w:rFonts w:ascii="Times New Roman" w:hAnsi="Times New Roman" w:cs="Times New Roman"/>
        </w:rPr>
      </w:pPr>
      <w:bookmarkStart w:id="285" w:name="_Toc20841311"/>
      <w:bookmarkStart w:id="286" w:name="_Toc20841417"/>
      <w:bookmarkStart w:id="287" w:name="_Toc69810196"/>
      <w:bookmarkStart w:id="288" w:name="_Hlk36544503"/>
      <w:r w:rsidRPr="00654E3B">
        <w:rPr>
          <w:rFonts w:ascii="Times New Roman" w:hAnsi="Times New Roman" w:cs="Times New Roman"/>
        </w:rPr>
        <w:lastRenderedPageBreak/>
        <w:t xml:space="preserve">7. </w:t>
      </w:r>
      <w:r w:rsidRPr="00654E3B">
        <w:rPr>
          <w:rFonts w:ascii="Times New Roman" w:hAnsi="Times New Roman" w:cs="Times New Roman"/>
        </w:rPr>
        <w:tab/>
        <w:t>FINANCIRANJE</w:t>
      </w:r>
      <w:bookmarkEnd w:id="285"/>
      <w:bookmarkEnd w:id="286"/>
      <w:bookmarkEnd w:id="287"/>
    </w:p>
    <w:p w:rsidR="007D4A93" w:rsidRPr="00654E3B" w:rsidRDefault="00EF0BEB">
      <w:pPr>
        <w:pStyle w:val="Heading2"/>
        <w:rPr>
          <w:rFonts w:ascii="Times New Roman" w:hAnsi="Times New Roman" w:cs="Times New Roman"/>
        </w:rPr>
      </w:pPr>
      <w:bookmarkStart w:id="289" w:name="_Toc20841312"/>
      <w:bookmarkStart w:id="290" w:name="_Toc20841418"/>
      <w:bookmarkStart w:id="291" w:name="_Toc69810197"/>
      <w:r w:rsidRPr="00F01191">
        <w:rPr>
          <w:rFonts w:ascii="Times New Roman" w:hAnsi="Times New Roman" w:cs="Times New Roman"/>
        </w:rPr>
        <w:t xml:space="preserve">7.1. </w:t>
      </w:r>
      <w:r w:rsidRPr="00F01191">
        <w:rPr>
          <w:rFonts w:ascii="Times New Roman" w:hAnsi="Times New Roman" w:cs="Times New Roman"/>
        </w:rPr>
        <w:tab/>
        <w:t>PROCJENA POTREBNIH ULAGANJA</w:t>
      </w:r>
      <w:bookmarkEnd w:id="289"/>
      <w:bookmarkEnd w:id="290"/>
      <w:bookmarkEnd w:id="291"/>
    </w:p>
    <w:p w:rsidR="007D4A93" w:rsidRPr="00654E3B" w:rsidRDefault="007D4A93">
      <w:pPr>
        <w:keepNext/>
        <w:rPr>
          <w:rFonts w:cs="Times New Roman"/>
        </w:rPr>
      </w:pPr>
    </w:p>
    <w:p w:rsidR="007D4A93" w:rsidRPr="00654E3B" w:rsidRDefault="00EF0BEB">
      <w:pPr>
        <w:keepNext/>
        <w:spacing w:line="240" w:lineRule="auto"/>
        <w:rPr>
          <w:rFonts w:cs="Times New Roman"/>
        </w:rPr>
      </w:pPr>
      <w:r w:rsidRPr="00654E3B">
        <w:rPr>
          <w:rFonts w:cs="Times New Roman"/>
        </w:rPr>
        <w:t>Dugoročno, ulaganja u niskougljični razvoj trebaju biti ekonomski održiva. Javni izvori financiranja neće biti dostatni te je potrebno naći instrumente za mobilizaciju privatnih sredstva za ulaganje u poslove koj</w:t>
      </w:r>
      <w:r w:rsidR="009823B2" w:rsidRPr="00654E3B">
        <w:rPr>
          <w:rFonts w:cs="Times New Roman"/>
        </w:rPr>
        <w:t>i</w:t>
      </w:r>
      <w:r w:rsidRPr="00654E3B">
        <w:rPr>
          <w:rFonts w:cs="Times New Roman"/>
        </w:rPr>
        <w:t xml:space="preserve"> doprinose niskougljično</w:t>
      </w:r>
      <w:r w:rsidR="009823B2" w:rsidRPr="00654E3B">
        <w:rPr>
          <w:rFonts w:cs="Times New Roman"/>
        </w:rPr>
        <w:t>m</w:t>
      </w:r>
      <w:r w:rsidRPr="00654E3B">
        <w:rPr>
          <w:rFonts w:cs="Times New Roman"/>
        </w:rPr>
        <w:t xml:space="preserve"> razvoju i gospodarskom rastu.  </w:t>
      </w:r>
    </w:p>
    <w:p w:rsidR="007D4A93" w:rsidRPr="00654E3B" w:rsidRDefault="00EF0BEB">
      <w:pPr>
        <w:rPr>
          <w:rFonts w:cs="Times New Roman"/>
          <w:b/>
        </w:rPr>
      </w:pPr>
      <w:r w:rsidRPr="00654E3B">
        <w:rPr>
          <w:rFonts w:cs="Times New Roman"/>
          <w:b/>
        </w:rPr>
        <w:t>Procjenjuje se da će za tranziciju prema niskougljičnom razvoju biti potrebna ulaganja od 38,65 do 65,92 mlrd. kuna u razdoblju od 2021. do 2030. godine, odnosno od 0,92 do 1,6</w:t>
      </w:r>
      <w:r w:rsidR="00060992" w:rsidRPr="00654E3B">
        <w:rPr>
          <w:rFonts w:cs="Times New Roman"/>
          <w:b/>
        </w:rPr>
        <w:t xml:space="preserve"> %</w:t>
      </w:r>
      <w:r w:rsidRPr="00654E3B">
        <w:rPr>
          <w:rFonts w:cs="Times New Roman"/>
          <w:b/>
        </w:rPr>
        <w:t xml:space="preserve"> BDP-a. U razdoblju od 2031. do 2050. godine</w:t>
      </w:r>
      <w:r w:rsidR="006E7EAD" w:rsidRPr="00654E3B">
        <w:rPr>
          <w:rFonts w:cs="Times New Roman"/>
          <w:b/>
        </w:rPr>
        <w:t>,</w:t>
      </w:r>
      <w:r w:rsidRPr="00654E3B">
        <w:rPr>
          <w:rFonts w:cs="Times New Roman"/>
          <w:b/>
        </w:rPr>
        <w:t xml:space="preserve"> trošak će biti od 107,09 do 167,95 mlrd. kuna (od 0,96 do 1,51</w:t>
      </w:r>
      <w:r w:rsidR="00060992" w:rsidRPr="00654E3B">
        <w:rPr>
          <w:rFonts w:cs="Times New Roman"/>
          <w:b/>
        </w:rPr>
        <w:t xml:space="preserve"> %</w:t>
      </w:r>
      <w:r w:rsidRPr="00654E3B">
        <w:rPr>
          <w:rFonts w:cs="Times New Roman"/>
          <w:b/>
        </w:rPr>
        <w:t xml:space="preserve"> BDP-a).</w:t>
      </w:r>
      <w:r w:rsidRPr="00654E3B">
        <w:rPr>
          <w:rFonts w:cs="Times New Roman"/>
        </w:rPr>
        <w:t xml:space="preserve"> </w:t>
      </w:r>
      <w:r w:rsidRPr="00654E3B">
        <w:rPr>
          <w:rFonts w:cs="Times New Roman"/>
          <w:bCs/>
        </w:rPr>
        <w:t>Navedeni iznosi ulaganja predstavljaju razliku ulaganja između tranzicijskih scenarija (NU1 i NU2) i referentnog scenarija (NUR).</w:t>
      </w:r>
    </w:p>
    <w:p w:rsidR="007D4A93" w:rsidRPr="00654E3B" w:rsidRDefault="00EF0BEB" w:rsidP="006F55AE">
      <w:pPr>
        <w:rPr>
          <w:rFonts w:cs="Times New Roman"/>
        </w:rPr>
      </w:pPr>
      <w:r w:rsidRPr="00654E3B">
        <w:rPr>
          <w:rFonts w:cs="Times New Roman"/>
        </w:rPr>
        <w:t>Na slici 7-1 je prikazana procjena potrebnih ulaganja u razdoblju od 2021. do 2030. godine za tranziciju prema niskougljičnom gospodarstvu.</w:t>
      </w:r>
      <w:bookmarkStart w:id="292" w:name="_Toc477771751"/>
      <w:bookmarkStart w:id="293" w:name="_Toc484158377"/>
    </w:p>
    <w:p w:rsidR="006F55AE" w:rsidRPr="00654E3B" w:rsidRDefault="006F55AE" w:rsidP="006F55AE">
      <w:pPr>
        <w:rPr>
          <w:rFonts w:cs="Times New Roman"/>
        </w:rPr>
      </w:pPr>
    </w:p>
    <w:p w:rsidR="007D4A93" w:rsidRPr="00F01191" w:rsidRDefault="00EF0BEB">
      <w:pPr>
        <w:pStyle w:val="Slika"/>
        <w:spacing w:before="120"/>
        <w:jc w:val="center"/>
        <w:rPr>
          <w:rFonts w:ascii="Times New Roman" w:hAnsi="Times New Roman"/>
        </w:rPr>
      </w:pPr>
      <w:bookmarkStart w:id="294" w:name="_Toc33417102"/>
      <w:r w:rsidRPr="00F01191">
        <w:rPr>
          <w:rFonts w:ascii="Times New Roman" w:hAnsi="Times New Roman"/>
          <w:noProof/>
          <w:lang w:val="en-US"/>
        </w:rPr>
        <w:drawing>
          <wp:inline distT="0" distB="0" distL="0" distR="0" wp14:anchorId="56506388" wp14:editId="6507413B">
            <wp:extent cx="3688080" cy="2511552"/>
            <wp:effectExtent l="0" t="0" r="7620" b="3175"/>
            <wp:docPr id="12"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jpg"/>
                    <pic:cNvPicPr>
                      <a:picLocks noChangeAspect="1"/>
                    </pic:cNvPicPr>
                  </pic:nvPicPr>
                  <pic:blipFill>
                    <a:blip r:embed="rId20"/>
                    <a:stretch/>
                  </pic:blipFill>
                  <pic:spPr bwMode="auto">
                    <a:xfrm>
                      <a:off x="0" y="0"/>
                      <a:ext cx="3688080" cy="2511552"/>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t>Slika 7-1: Procjena potrebnih ulaganja u razdoblju od 2021. do 2030. godine za tranziciju prema niskougljičnom gospodarstvu</w:t>
      </w:r>
      <w:bookmarkEnd w:id="292"/>
      <w:bookmarkEnd w:id="293"/>
      <w:bookmarkEnd w:id="294"/>
    </w:p>
    <w:p w:rsidR="007D4A93" w:rsidRPr="00654E3B" w:rsidRDefault="00EF0BEB">
      <w:pPr>
        <w:keepNext/>
        <w:rPr>
          <w:rFonts w:cs="Times New Roman"/>
        </w:rPr>
      </w:pPr>
      <w:bookmarkStart w:id="295" w:name="_Toc21619761"/>
      <w:r w:rsidRPr="00654E3B">
        <w:rPr>
          <w:rFonts w:cs="Times New Roman"/>
        </w:rPr>
        <w:t>Na slici 7-2 je prikazana procjena potrebnih ulaganja u razdoblju od 2031. do 2050. godine za tranziciju prema niskougljičnom gospodarstvu.</w:t>
      </w:r>
    </w:p>
    <w:p w:rsidR="006F55AE" w:rsidRPr="00654E3B" w:rsidRDefault="006F55AE">
      <w:pPr>
        <w:keepNext/>
        <w:rPr>
          <w:rFonts w:cs="Times New Roman"/>
        </w:rPr>
      </w:pPr>
    </w:p>
    <w:p w:rsidR="007D4A93" w:rsidRPr="00F01191" w:rsidRDefault="00EF0BEB">
      <w:pPr>
        <w:pStyle w:val="Slika"/>
        <w:spacing w:before="120"/>
        <w:jc w:val="center"/>
        <w:rPr>
          <w:rFonts w:ascii="Times New Roman" w:hAnsi="Times New Roman"/>
        </w:rPr>
      </w:pPr>
      <w:bookmarkStart w:id="296" w:name="_Toc33417103"/>
      <w:r w:rsidRPr="00F01191">
        <w:rPr>
          <w:rFonts w:ascii="Times New Roman" w:hAnsi="Times New Roman"/>
          <w:noProof/>
          <w:lang w:val="en-US"/>
        </w:rPr>
        <w:drawing>
          <wp:inline distT="0" distB="0" distL="0" distR="0" wp14:anchorId="625E52B1" wp14:editId="57973D78">
            <wp:extent cx="3694176" cy="2511552"/>
            <wp:effectExtent l="0" t="0" r="1905" b="3175"/>
            <wp:docPr id="13"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2.jpg"/>
                    <pic:cNvPicPr>
                      <a:picLocks noChangeAspect="1"/>
                    </pic:cNvPicPr>
                  </pic:nvPicPr>
                  <pic:blipFill>
                    <a:blip r:embed="rId21"/>
                    <a:stretch/>
                  </pic:blipFill>
                  <pic:spPr bwMode="auto">
                    <a:xfrm>
                      <a:off x="0" y="0"/>
                      <a:ext cx="3694176" cy="2511552"/>
                    </a:xfrm>
                    <a:prstGeom prst="rect">
                      <a:avLst/>
                    </a:prstGeom>
                  </pic:spPr>
                </pic:pic>
              </a:graphicData>
            </a:graphic>
          </wp:inline>
        </w:drawing>
      </w:r>
    </w:p>
    <w:p w:rsidR="007D4A93" w:rsidRPr="00654E3B" w:rsidRDefault="00EF0BEB">
      <w:pPr>
        <w:pStyle w:val="Slika"/>
        <w:spacing w:before="120"/>
        <w:jc w:val="center"/>
        <w:rPr>
          <w:rFonts w:ascii="Times New Roman" w:hAnsi="Times New Roman"/>
          <w:i/>
        </w:rPr>
      </w:pPr>
      <w:r w:rsidRPr="00654E3B">
        <w:rPr>
          <w:rFonts w:ascii="Times New Roman" w:hAnsi="Times New Roman"/>
          <w:i/>
        </w:rPr>
        <w:lastRenderedPageBreak/>
        <w:t>Slika 7-2: Procjena potrebnih ulaganja u razdoblju od 2031. do 2050. godine za tranziciju prema niskougljičnom gospodarstvu</w:t>
      </w:r>
      <w:bookmarkEnd w:id="296"/>
    </w:p>
    <w:p w:rsidR="00AB40C9" w:rsidRPr="00654E3B" w:rsidRDefault="00AB40C9">
      <w:pPr>
        <w:pStyle w:val="Slika"/>
        <w:spacing w:before="120"/>
        <w:jc w:val="center"/>
        <w:rPr>
          <w:rFonts w:ascii="Times New Roman" w:hAnsi="Times New Roman"/>
          <w:i/>
        </w:rPr>
      </w:pPr>
    </w:p>
    <w:p w:rsidR="007D4A93" w:rsidRPr="00654E3B" w:rsidRDefault="00EF0BEB" w:rsidP="00023BC3">
      <w:pPr>
        <w:pStyle w:val="Heading2"/>
        <w:rPr>
          <w:rFonts w:ascii="Times New Roman" w:hAnsi="Times New Roman" w:cs="Times New Roman"/>
        </w:rPr>
      </w:pPr>
      <w:bookmarkStart w:id="297" w:name="_Toc69810198"/>
      <w:r w:rsidRPr="00654E3B">
        <w:rPr>
          <w:rFonts w:ascii="Times New Roman" w:hAnsi="Times New Roman" w:cs="Times New Roman"/>
        </w:rPr>
        <w:t xml:space="preserve">7.2. </w:t>
      </w:r>
      <w:r w:rsidRPr="00654E3B">
        <w:rPr>
          <w:rFonts w:ascii="Times New Roman" w:hAnsi="Times New Roman" w:cs="Times New Roman"/>
        </w:rPr>
        <w:tab/>
        <w:t>IZVORI FINANCIRANJA</w:t>
      </w:r>
      <w:bookmarkEnd w:id="295"/>
      <w:bookmarkEnd w:id="297"/>
    </w:p>
    <w:p w:rsidR="00023BC3" w:rsidRPr="00654E3B" w:rsidRDefault="00023BC3" w:rsidP="00023BC3">
      <w:pPr>
        <w:rPr>
          <w:rFonts w:cs="Times New Roman"/>
        </w:rPr>
      </w:pPr>
    </w:p>
    <w:p w:rsidR="007D4A93" w:rsidRPr="00654E3B" w:rsidRDefault="00EF0BEB">
      <w:pPr>
        <w:spacing w:line="240" w:lineRule="auto"/>
        <w:rPr>
          <w:rFonts w:cs="Times New Roman"/>
        </w:rPr>
      </w:pPr>
      <w:r w:rsidRPr="00654E3B">
        <w:rPr>
          <w:rFonts w:cs="Times New Roman"/>
        </w:rPr>
        <w:t>Okvir za financiranje mjera u priličnoj mjeri već postoji, u smislu mogućih izvora financiranja, s time što on vrijedi za razdoblje do 2030. godine. Nakon 2030. godine, kako postaje sve dublja primjena mjera i trošak znatno raste, bit će potrebno osigurati široki spektar izvora financiranja.</w:t>
      </w:r>
    </w:p>
    <w:p w:rsidR="007D4A93" w:rsidRPr="00654E3B" w:rsidRDefault="00EF0BEB">
      <w:pPr>
        <w:spacing w:line="240" w:lineRule="auto"/>
        <w:rPr>
          <w:rFonts w:cs="Times New Roman"/>
        </w:rPr>
      </w:pPr>
      <w:r w:rsidRPr="00654E3B">
        <w:rPr>
          <w:rFonts w:cs="Times New Roman"/>
        </w:rPr>
        <w:t>U ovom su poglavlju sveobuhvatno navedeni izvori financiranja koji su dostupni za realizaciju ciljeva niskougljične strategije.</w:t>
      </w:r>
    </w:p>
    <w:p w:rsidR="007D4A93" w:rsidRPr="00654E3B" w:rsidRDefault="00EF0BEB">
      <w:pPr>
        <w:rPr>
          <w:rFonts w:cs="Times New Roman"/>
        </w:rPr>
      </w:pPr>
      <w:r w:rsidRPr="00654E3B">
        <w:rPr>
          <w:rFonts w:cs="Times New Roman"/>
        </w:rPr>
        <w:t xml:space="preserve">Kao i u proteklom razdoblju, očekuje se da će i dalje glavni izvor financiranja biti sredstva </w:t>
      </w:r>
      <w:r w:rsidRPr="00654E3B">
        <w:rPr>
          <w:rFonts w:cs="Times New Roman"/>
          <w:b/>
          <w:bCs/>
        </w:rPr>
        <w:t>Europskih strukturnih i investicijskih fondova (ESI)</w:t>
      </w:r>
      <w:r w:rsidRPr="00654E3B">
        <w:rPr>
          <w:rFonts w:cs="Times New Roman"/>
        </w:rPr>
        <w:t xml:space="preserve"> i </w:t>
      </w:r>
      <w:r w:rsidRPr="00654E3B">
        <w:rPr>
          <w:rFonts w:cs="Times New Roman"/>
          <w:b/>
          <w:bCs/>
        </w:rPr>
        <w:t xml:space="preserve">sredstva prikupljena </w:t>
      </w:r>
      <w:r w:rsidR="00AE6A25" w:rsidRPr="00654E3B">
        <w:rPr>
          <w:rFonts w:cs="Times New Roman"/>
          <w:b/>
          <w:bCs/>
        </w:rPr>
        <w:t>od</w:t>
      </w:r>
      <w:r w:rsidRPr="00654E3B">
        <w:rPr>
          <w:rFonts w:cs="Times New Roman"/>
          <w:b/>
          <w:bCs/>
        </w:rPr>
        <w:t xml:space="preserve"> dražbi emisijskih jedinica </w:t>
      </w:r>
      <w:r w:rsidR="00AE6A25" w:rsidRPr="00654E3B">
        <w:rPr>
          <w:rFonts w:cs="Times New Roman"/>
        </w:rPr>
        <w:t>stakleničkih plinova.</w:t>
      </w:r>
      <w:r w:rsidRPr="00654E3B">
        <w:rPr>
          <w:rFonts w:cs="Times New Roman"/>
        </w:rPr>
        <w:t xml:space="preserve"> Uz to, glavni izvori financiranja biti će: </w:t>
      </w:r>
    </w:p>
    <w:p w:rsidR="007D4A93" w:rsidRPr="00654E3B" w:rsidRDefault="00EF0BEB" w:rsidP="000C6795">
      <w:pPr>
        <w:numPr>
          <w:ilvl w:val="0"/>
          <w:numId w:val="71"/>
        </w:numPr>
        <w:contextualSpacing/>
        <w:rPr>
          <w:rFonts w:cs="Times New Roman"/>
          <w:b/>
          <w:bCs/>
        </w:rPr>
      </w:pPr>
      <w:r w:rsidRPr="00654E3B">
        <w:rPr>
          <w:rFonts w:cs="Times New Roman"/>
          <w:b/>
          <w:bCs/>
        </w:rPr>
        <w:t>EU fondovi i programi</w:t>
      </w:r>
    </w:p>
    <w:p w:rsidR="007D4A93" w:rsidRPr="00654E3B" w:rsidRDefault="00EF0BEB" w:rsidP="000C6795">
      <w:pPr>
        <w:numPr>
          <w:ilvl w:val="1"/>
          <w:numId w:val="73"/>
        </w:numPr>
        <w:ind w:left="1071" w:hanging="357"/>
        <w:contextualSpacing/>
        <w:rPr>
          <w:rFonts w:cs="Times New Roman"/>
        </w:rPr>
      </w:pPr>
      <w:r w:rsidRPr="00654E3B">
        <w:rPr>
          <w:rFonts w:cs="Times New Roman"/>
        </w:rPr>
        <w:t xml:space="preserve">Fond za modernizaciju, iz dražbovne kvote ETS-a </w:t>
      </w:r>
    </w:p>
    <w:p w:rsidR="007D4A93" w:rsidRPr="00654E3B" w:rsidRDefault="00EF0BEB" w:rsidP="000C6795">
      <w:pPr>
        <w:numPr>
          <w:ilvl w:val="1"/>
          <w:numId w:val="73"/>
        </w:numPr>
        <w:ind w:left="1071" w:hanging="357"/>
        <w:contextualSpacing/>
        <w:rPr>
          <w:rFonts w:cs="Times New Roman"/>
        </w:rPr>
      </w:pPr>
      <w:r w:rsidRPr="00654E3B">
        <w:rPr>
          <w:rFonts w:cs="Times New Roman"/>
        </w:rPr>
        <w:t>Fond za inovacije, iz dražbovne kvote ETS-a</w:t>
      </w:r>
    </w:p>
    <w:p w:rsidR="007D4A93" w:rsidRPr="00654E3B" w:rsidRDefault="00EF0BEB" w:rsidP="000C6795">
      <w:pPr>
        <w:numPr>
          <w:ilvl w:val="1"/>
          <w:numId w:val="73"/>
        </w:numPr>
        <w:ind w:left="1071" w:hanging="357"/>
        <w:contextualSpacing/>
        <w:rPr>
          <w:rFonts w:cs="Times New Roman"/>
        </w:rPr>
      </w:pPr>
      <w:r w:rsidRPr="00654E3B">
        <w:rPr>
          <w:rFonts w:cs="Times New Roman"/>
        </w:rPr>
        <w:t>Fond za povezivanje Europe (Co</w:t>
      </w:r>
      <w:r w:rsidR="001C0429" w:rsidRPr="00654E3B">
        <w:rPr>
          <w:rFonts w:cs="Times New Roman"/>
        </w:rPr>
        <w:t xml:space="preserve">nn </w:t>
      </w:r>
      <w:r w:rsidRPr="00654E3B">
        <w:rPr>
          <w:rFonts w:cs="Times New Roman"/>
        </w:rPr>
        <w:t>ecting Europe Facility)</w:t>
      </w:r>
    </w:p>
    <w:p w:rsidR="00AE6A25" w:rsidRPr="00654E3B" w:rsidRDefault="00EF0BEB" w:rsidP="000C6795">
      <w:pPr>
        <w:numPr>
          <w:ilvl w:val="1"/>
          <w:numId w:val="73"/>
        </w:numPr>
        <w:ind w:left="1071" w:hanging="357"/>
        <w:contextualSpacing/>
        <w:rPr>
          <w:rFonts w:cs="Times New Roman"/>
        </w:rPr>
      </w:pPr>
      <w:r w:rsidRPr="00654E3B">
        <w:rPr>
          <w:rFonts w:cs="Times New Roman"/>
        </w:rPr>
        <w:t>Europski fond za strateška ulaganja (EFSU)</w:t>
      </w:r>
    </w:p>
    <w:p w:rsidR="007D4A93" w:rsidRPr="00654E3B" w:rsidRDefault="00AE6A25" w:rsidP="000C6795">
      <w:pPr>
        <w:numPr>
          <w:ilvl w:val="1"/>
          <w:numId w:val="73"/>
        </w:numPr>
        <w:ind w:left="1071" w:hanging="357"/>
        <w:contextualSpacing/>
        <w:rPr>
          <w:rFonts w:cs="Times New Roman"/>
        </w:rPr>
      </w:pPr>
      <w:r w:rsidRPr="00654E3B">
        <w:rPr>
          <w:rFonts w:cs="Times New Roman"/>
        </w:rPr>
        <w:t>Fond za pravednu tranziciju</w:t>
      </w:r>
      <w:r w:rsidR="00EF0BEB" w:rsidRPr="00654E3B">
        <w:rPr>
          <w:rFonts w:cs="Times New Roman"/>
        </w:rPr>
        <w:t xml:space="preserve"> </w:t>
      </w:r>
      <w:r w:rsidRPr="00654E3B">
        <w:rPr>
          <w:rFonts w:cs="Times New Roman"/>
        </w:rPr>
        <w:t>(JTF)</w:t>
      </w:r>
    </w:p>
    <w:p w:rsidR="00AE6A25" w:rsidRPr="00654E3B" w:rsidRDefault="00AE6A25" w:rsidP="000C6795">
      <w:pPr>
        <w:numPr>
          <w:ilvl w:val="1"/>
          <w:numId w:val="73"/>
        </w:numPr>
        <w:ind w:left="1071" w:hanging="357"/>
        <w:contextualSpacing/>
        <w:rPr>
          <w:rFonts w:cs="Times New Roman"/>
        </w:rPr>
      </w:pPr>
      <w:r w:rsidRPr="00654E3B">
        <w:rPr>
          <w:rFonts w:cs="Times New Roman"/>
        </w:rPr>
        <w:t>Fond za oporavak i otpornost (RRF)</w:t>
      </w:r>
    </w:p>
    <w:p w:rsidR="007D4A93" w:rsidRPr="00654E3B" w:rsidRDefault="00EF0BEB" w:rsidP="000C6795">
      <w:pPr>
        <w:numPr>
          <w:ilvl w:val="1"/>
          <w:numId w:val="73"/>
        </w:numPr>
        <w:ind w:left="1071" w:hanging="357"/>
        <w:contextualSpacing/>
        <w:rPr>
          <w:rFonts w:cs="Times New Roman"/>
        </w:rPr>
      </w:pPr>
      <w:r w:rsidRPr="00654E3B">
        <w:rPr>
          <w:rFonts w:cs="Times New Roman"/>
        </w:rPr>
        <w:t>Europski energetski program za oporavak (EEPR) i Europski fond za energetsku učinkovitost (EEEF)</w:t>
      </w:r>
    </w:p>
    <w:p w:rsidR="007D4A93" w:rsidRPr="00654E3B" w:rsidRDefault="00EF0BEB" w:rsidP="000C6795">
      <w:pPr>
        <w:numPr>
          <w:ilvl w:val="1"/>
          <w:numId w:val="73"/>
        </w:numPr>
        <w:ind w:left="1071" w:hanging="357"/>
        <w:contextualSpacing/>
        <w:rPr>
          <w:rFonts w:cs="Times New Roman"/>
        </w:rPr>
      </w:pPr>
      <w:r w:rsidRPr="00654E3B">
        <w:rPr>
          <w:rFonts w:cs="Times New Roman"/>
        </w:rPr>
        <w:t>Europski socijalni fond (ESF) i Europski socijalni fond plus (ESF+)</w:t>
      </w:r>
    </w:p>
    <w:p w:rsidR="007D4A93" w:rsidRPr="00654E3B" w:rsidRDefault="00EF0BEB" w:rsidP="000C6795">
      <w:pPr>
        <w:numPr>
          <w:ilvl w:val="1"/>
          <w:numId w:val="73"/>
        </w:numPr>
        <w:spacing w:after="0"/>
        <w:ind w:left="1071" w:hanging="357"/>
        <w:contextualSpacing/>
        <w:rPr>
          <w:rFonts w:cs="Times New Roman"/>
        </w:rPr>
      </w:pPr>
      <w:r w:rsidRPr="00654E3B">
        <w:rPr>
          <w:rFonts w:cs="Times New Roman"/>
        </w:rPr>
        <w:t>Europski fond za pomorstvo i ribarstvo (EFPR)</w:t>
      </w:r>
    </w:p>
    <w:p w:rsidR="007D4A93" w:rsidRPr="00654E3B" w:rsidRDefault="00EF0BEB" w:rsidP="000C6795">
      <w:pPr>
        <w:pStyle w:val="ListParagraph"/>
        <w:numPr>
          <w:ilvl w:val="1"/>
          <w:numId w:val="73"/>
        </w:numPr>
        <w:ind w:left="1071" w:hanging="357"/>
        <w:rPr>
          <w:rFonts w:cs="Times New Roman"/>
        </w:rPr>
      </w:pPr>
      <w:r w:rsidRPr="00654E3B">
        <w:rPr>
          <w:rFonts w:cs="Times New Roman"/>
        </w:rPr>
        <w:t>Europski poljoprivredni fond za ruralni razvoj (EPFRR)</w:t>
      </w:r>
    </w:p>
    <w:p w:rsidR="007D4A93" w:rsidRPr="00654E3B" w:rsidRDefault="00EF0BEB" w:rsidP="000C6795">
      <w:pPr>
        <w:pStyle w:val="ListParagraph"/>
        <w:numPr>
          <w:ilvl w:val="1"/>
          <w:numId w:val="73"/>
        </w:numPr>
        <w:ind w:left="1071" w:hanging="357"/>
        <w:rPr>
          <w:rFonts w:cs="Times New Roman"/>
        </w:rPr>
      </w:pPr>
      <w:r w:rsidRPr="00654E3B">
        <w:rPr>
          <w:rFonts w:cs="Times New Roman"/>
        </w:rPr>
        <w:t>Obzor 2020 i Obzor Europa</w:t>
      </w:r>
    </w:p>
    <w:p w:rsidR="007D4A93" w:rsidRPr="00654E3B" w:rsidRDefault="00EF0BEB" w:rsidP="000C6795">
      <w:pPr>
        <w:pStyle w:val="ListParagraph"/>
        <w:numPr>
          <w:ilvl w:val="1"/>
          <w:numId w:val="73"/>
        </w:numPr>
        <w:ind w:left="1072" w:hanging="357"/>
        <w:rPr>
          <w:rFonts w:cs="Times New Roman"/>
        </w:rPr>
      </w:pPr>
      <w:r w:rsidRPr="00654E3B">
        <w:rPr>
          <w:rFonts w:cs="Times New Roman"/>
        </w:rPr>
        <w:t>LIFE program</w:t>
      </w:r>
    </w:p>
    <w:p w:rsidR="007D4A93" w:rsidRPr="00654E3B" w:rsidRDefault="00EF0BEB" w:rsidP="000C6795">
      <w:pPr>
        <w:pStyle w:val="ListParagraph"/>
        <w:numPr>
          <w:ilvl w:val="1"/>
          <w:numId w:val="73"/>
        </w:numPr>
        <w:ind w:left="1072" w:hanging="357"/>
        <w:rPr>
          <w:rFonts w:cs="Times New Roman"/>
        </w:rPr>
      </w:pPr>
      <w:r w:rsidRPr="00654E3B">
        <w:rPr>
          <w:rFonts w:cs="Times New Roman"/>
        </w:rPr>
        <w:t>Interreg: Europska teritorijalna suradnja (ETC)</w:t>
      </w:r>
    </w:p>
    <w:p w:rsidR="00544FAD" w:rsidRPr="00654E3B" w:rsidRDefault="00544FAD" w:rsidP="006F55AE">
      <w:pPr>
        <w:pStyle w:val="ListParagraph"/>
        <w:numPr>
          <w:ilvl w:val="1"/>
          <w:numId w:val="73"/>
        </w:numPr>
        <w:spacing w:after="0"/>
        <w:ind w:left="1072" w:hanging="357"/>
        <w:rPr>
          <w:rFonts w:cs="Times New Roman"/>
        </w:rPr>
      </w:pPr>
      <w:r w:rsidRPr="00654E3B">
        <w:rPr>
          <w:rFonts w:cs="Times New Roman"/>
        </w:rPr>
        <w:t xml:space="preserve">Drugi međunarodni </w:t>
      </w:r>
      <w:r w:rsidR="00A92E6E" w:rsidRPr="00654E3B">
        <w:rPr>
          <w:rFonts w:cs="Times New Roman"/>
        </w:rPr>
        <w:t xml:space="preserve">multilateralni </w:t>
      </w:r>
      <w:r w:rsidRPr="00654E3B">
        <w:rPr>
          <w:rFonts w:cs="Times New Roman"/>
        </w:rPr>
        <w:t xml:space="preserve">financijski mehanizmi kao što </w:t>
      </w:r>
      <w:r w:rsidR="00A92E6E" w:rsidRPr="00654E3B">
        <w:rPr>
          <w:rFonts w:cs="Times New Roman"/>
        </w:rPr>
        <w:t xml:space="preserve">je </w:t>
      </w:r>
      <w:r w:rsidRPr="00654E3B">
        <w:rPr>
          <w:rFonts w:cs="Times New Roman"/>
        </w:rPr>
        <w:t xml:space="preserve">primjerice Norveški financijski mehanizam </w:t>
      </w:r>
    </w:p>
    <w:p w:rsidR="007D4A93" w:rsidRPr="00654E3B" w:rsidRDefault="00EF0BEB" w:rsidP="006F55AE">
      <w:pPr>
        <w:pStyle w:val="ListParagraph"/>
        <w:numPr>
          <w:ilvl w:val="0"/>
          <w:numId w:val="71"/>
        </w:numPr>
        <w:spacing w:after="0"/>
        <w:rPr>
          <w:rFonts w:cs="Times New Roman"/>
          <w:b/>
          <w:bCs/>
        </w:rPr>
      </w:pPr>
      <w:r w:rsidRPr="00654E3B">
        <w:rPr>
          <w:rFonts w:cs="Times New Roman"/>
          <w:b/>
          <w:bCs/>
        </w:rPr>
        <w:t xml:space="preserve">Nacionalni mehanizmi financiranja </w:t>
      </w:r>
    </w:p>
    <w:p w:rsidR="007D4A93" w:rsidRPr="00654E3B" w:rsidRDefault="00EF0BEB" w:rsidP="006F55AE">
      <w:pPr>
        <w:numPr>
          <w:ilvl w:val="1"/>
          <w:numId w:val="73"/>
        </w:numPr>
        <w:spacing w:after="0"/>
        <w:ind w:left="1071" w:hanging="357"/>
        <w:contextualSpacing/>
        <w:rPr>
          <w:rFonts w:cs="Times New Roman"/>
        </w:rPr>
      </w:pPr>
      <w:r w:rsidRPr="00654E3B">
        <w:rPr>
          <w:rFonts w:cs="Times New Roman"/>
        </w:rPr>
        <w:t>Proračun Republike Hrvatske</w:t>
      </w:r>
    </w:p>
    <w:p w:rsidR="007D4A93" w:rsidRPr="00654E3B" w:rsidRDefault="00EF0BEB" w:rsidP="006F55AE">
      <w:pPr>
        <w:numPr>
          <w:ilvl w:val="1"/>
          <w:numId w:val="73"/>
        </w:numPr>
        <w:spacing w:after="0"/>
        <w:ind w:left="1071" w:hanging="357"/>
        <w:contextualSpacing/>
        <w:rPr>
          <w:rFonts w:cs="Times New Roman"/>
        </w:rPr>
      </w:pPr>
      <w:r w:rsidRPr="00654E3B">
        <w:rPr>
          <w:rFonts w:cs="Times New Roman"/>
        </w:rPr>
        <w:t xml:space="preserve">Financiranje provedbe mjera na osnovi sustava obveze energetske učinkovitosti sukladno Direktivi 2012/27/EU o energetskoj učinkovitosti </w:t>
      </w:r>
    </w:p>
    <w:p w:rsidR="007D4A93" w:rsidRPr="00654E3B" w:rsidRDefault="00EF0BEB" w:rsidP="006F55AE">
      <w:pPr>
        <w:numPr>
          <w:ilvl w:val="1"/>
          <w:numId w:val="73"/>
        </w:numPr>
        <w:spacing w:after="0"/>
        <w:ind w:left="1071" w:hanging="357"/>
        <w:contextualSpacing/>
        <w:rPr>
          <w:rFonts w:cs="Times New Roman"/>
        </w:rPr>
      </w:pPr>
      <w:r w:rsidRPr="00654E3B">
        <w:rPr>
          <w:rFonts w:cs="Times New Roman"/>
        </w:rPr>
        <w:t>Naknada za emisije CO</w:t>
      </w:r>
      <w:r w:rsidRPr="00654E3B">
        <w:rPr>
          <w:rFonts w:cs="Times New Roman"/>
          <w:vertAlign w:val="subscript"/>
        </w:rPr>
        <w:t>2</w:t>
      </w:r>
    </w:p>
    <w:p w:rsidR="007D4A93" w:rsidRPr="00654E3B" w:rsidRDefault="00EF0BEB" w:rsidP="006F55AE">
      <w:pPr>
        <w:pStyle w:val="ListParagraph"/>
        <w:numPr>
          <w:ilvl w:val="1"/>
          <w:numId w:val="74"/>
        </w:numPr>
        <w:spacing w:after="0"/>
        <w:ind w:left="1071" w:hanging="357"/>
        <w:rPr>
          <w:rFonts w:cs="Times New Roman"/>
        </w:rPr>
      </w:pPr>
      <w:r w:rsidRPr="00654E3B">
        <w:rPr>
          <w:rFonts w:cs="Times New Roman"/>
        </w:rPr>
        <w:t xml:space="preserve">Naknada za proizvodnju električne energije iz obnovljivih izvora energije </w:t>
      </w:r>
    </w:p>
    <w:p w:rsidR="007D4A93" w:rsidRPr="00654E3B" w:rsidRDefault="00EF0BEB" w:rsidP="006F55AE">
      <w:pPr>
        <w:pStyle w:val="ListParagraph"/>
        <w:numPr>
          <w:ilvl w:val="0"/>
          <w:numId w:val="71"/>
        </w:numPr>
        <w:spacing w:after="0"/>
        <w:rPr>
          <w:rFonts w:cs="Times New Roman"/>
        </w:rPr>
      </w:pPr>
      <w:r w:rsidRPr="00654E3B">
        <w:rPr>
          <w:rFonts w:cs="Times New Roman"/>
          <w:b/>
          <w:bCs/>
        </w:rPr>
        <w:t>Krediti i inovativni modeli financiranja</w:t>
      </w:r>
    </w:p>
    <w:p w:rsidR="007D4A93" w:rsidRPr="00654E3B" w:rsidRDefault="00EF0BEB" w:rsidP="006F55AE">
      <w:pPr>
        <w:pStyle w:val="ListParagraph"/>
        <w:numPr>
          <w:ilvl w:val="1"/>
          <w:numId w:val="75"/>
        </w:numPr>
        <w:spacing w:after="0"/>
        <w:ind w:left="1071" w:hanging="357"/>
        <w:rPr>
          <w:rFonts w:cs="Times New Roman"/>
        </w:rPr>
      </w:pPr>
      <w:r w:rsidRPr="00654E3B">
        <w:rPr>
          <w:rFonts w:cs="Times New Roman"/>
        </w:rPr>
        <w:t>Kreditne linije poslovnih banaka</w:t>
      </w:r>
    </w:p>
    <w:p w:rsidR="007D4A93" w:rsidRPr="00654E3B" w:rsidRDefault="00EF0BEB" w:rsidP="006F55AE">
      <w:pPr>
        <w:pStyle w:val="ListParagraph"/>
        <w:numPr>
          <w:ilvl w:val="1"/>
          <w:numId w:val="75"/>
        </w:numPr>
        <w:spacing w:after="0"/>
        <w:ind w:left="1071" w:hanging="357"/>
        <w:rPr>
          <w:rFonts w:cs="Times New Roman"/>
        </w:rPr>
      </w:pPr>
      <w:r w:rsidRPr="00654E3B">
        <w:rPr>
          <w:rFonts w:cs="Times New Roman"/>
        </w:rPr>
        <w:t>ESCO modeli financiranja</w:t>
      </w:r>
    </w:p>
    <w:p w:rsidR="007D4A93" w:rsidRPr="00654E3B" w:rsidRDefault="00EF0BEB" w:rsidP="006F55AE">
      <w:pPr>
        <w:pStyle w:val="ListParagraph"/>
        <w:numPr>
          <w:ilvl w:val="1"/>
          <w:numId w:val="75"/>
        </w:numPr>
        <w:spacing w:after="0"/>
        <w:ind w:left="1071" w:hanging="357"/>
        <w:rPr>
          <w:rFonts w:cs="Times New Roman"/>
        </w:rPr>
      </w:pPr>
      <w:r w:rsidRPr="00654E3B">
        <w:rPr>
          <w:rFonts w:cs="Times New Roman"/>
        </w:rPr>
        <w:t>Grupno financiranje</w:t>
      </w:r>
    </w:p>
    <w:p w:rsidR="007D4A93" w:rsidRPr="00654E3B" w:rsidRDefault="00EF0BEB" w:rsidP="000C6795">
      <w:pPr>
        <w:pStyle w:val="ListParagraph"/>
        <w:numPr>
          <w:ilvl w:val="1"/>
          <w:numId w:val="75"/>
        </w:numPr>
        <w:ind w:left="714" w:hanging="357"/>
        <w:rPr>
          <w:rFonts w:cs="Times New Roman"/>
        </w:rPr>
      </w:pPr>
      <w:r w:rsidRPr="00654E3B">
        <w:rPr>
          <w:rFonts w:cs="Times New Roman"/>
          <w:b/>
          <w:bCs/>
        </w:rPr>
        <w:t>Javno-privatna partnerstva (JPP)</w:t>
      </w:r>
    </w:p>
    <w:p w:rsidR="007D4A93" w:rsidRPr="00654E3B" w:rsidRDefault="00EF0BEB">
      <w:pPr>
        <w:spacing w:line="240" w:lineRule="auto"/>
        <w:rPr>
          <w:rFonts w:cs="Times New Roman"/>
        </w:rPr>
      </w:pPr>
      <w:r w:rsidRPr="00654E3B">
        <w:rPr>
          <w:rFonts w:cs="Times New Roman"/>
        </w:rPr>
        <w:t>Navedeni izvori financiranja su aktualni u razdoblju do 2020. godine te će dodatna sredstva putem istoimenih fondova i programa biti dostupna i u nadolazećem razdoblju. Iznimke su promjena naziva programa iz Obzor 2020 (program na snazi do 2020. godine) u Obzor Europa (na snazi od 2021. godine), a novoosnovan je alat Mehanizam za pravednu tranziciju Europskog zelenog plana koji će biti aktivan između 2021. do 2027. godine.</w:t>
      </w:r>
    </w:p>
    <w:p w:rsidR="007D4A93" w:rsidRPr="00654E3B" w:rsidRDefault="00EF0BEB">
      <w:pPr>
        <w:spacing w:line="240" w:lineRule="auto"/>
        <w:rPr>
          <w:rFonts w:cs="Times New Roman"/>
        </w:rPr>
      </w:pPr>
      <w:r w:rsidRPr="00654E3B">
        <w:rPr>
          <w:rFonts w:cs="Times New Roman"/>
        </w:rPr>
        <w:t>Važno pitanje je kako će Republika Hrvatska programirati sredstva iz ESI fondova od 2021. godine na dalje, koliko će biti namijenjeno klimatskim aktivnostima te kakva će biti raspodjela između mjera za ublažavanje klimatskih promjena i mjera za prilagodbu klimatskim promjenama. Republika Hrvatska je u razdoblju financiranja od 2014. do 2020. godine raspodijelila klimatskim aktivnostima 20,4</w:t>
      </w:r>
      <w:r w:rsidR="00060992" w:rsidRPr="00654E3B">
        <w:rPr>
          <w:rFonts w:cs="Times New Roman"/>
        </w:rPr>
        <w:t xml:space="preserve"> %</w:t>
      </w:r>
      <w:r w:rsidRPr="00654E3B">
        <w:rPr>
          <w:rFonts w:cs="Times New Roman"/>
        </w:rPr>
        <w:t xml:space="preserve"> od </w:t>
      </w:r>
      <w:r w:rsidRPr="00654E3B">
        <w:rPr>
          <w:rFonts w:cs="Times New Roman"/>
        </w:rPr>
        <w:lastRenderedPageBreak/>
        <w:t>ukupnih sredstava. (2,18 milijardi EUR). Na razini EU, u okviru ESI fondova, u ovom razdoblju</w:t>
      </w:r>
      <w:r w:rsidR="006E7EAD" w:rsidRPr="00654E3B">
        <w:rPr>
          <w:rFonts w:cs="Times New Roman"/>
        </w:rPr>
        <w:t>,</w:t>
      </w:r>
      <w:r w:rsidRPr="00654E3B">
        <w:rPr>
          <w:rFonts w:cs="Times New Roman"/>
        </w:rPr>
        <w:t xml:space="preserve"> ulaganja u klimatske aktivnosti iznose 25,1</w:t>
      </w:r>
      <w:r w:rsidR="00060992" w:rsidRPr="00654E3B">
        <w:rPr>
          <w:rFonts w:cs="Times New Roman"/>
        </w:rPr>
        <w:t xml:space="preserve"> %</w:t>
      </w:r>
      <w:r w:rsidRPr="00654E3B">
        <w:rPr>
          <w:rFonts w:cs="Times New Roman"/>
        </w:rPr>
        <w:t>. Ako se analizira raspodjela ESI fondova na ublažavanje i prilagodbu na razini EU 28, 11,2</w:t>
      </w:r>
      <w:r w:rsidR="00060992" w:rsidRPr="00654E3B">
        <w:rPr>
          <w:rFonts w:cs="Times New Roman"/>
        </w:rPr>
        <w:t xml:space="preserve"> %</w:t>
      </w:r>
      <w:r w:rsidRPr="00654E3B">
        <w:rPr>
          <w:rFonts w:cs="Times New Roman"/>
        </w:rPr>
        <w:t xml:space="preserve"> je za ublažavanje, 3,1</w:t>
      </w:r>
      <w:r w:rsidR="00060992" w:rsidRPr="00654E3B">
        <w:rPr>
          <w:rFonts w:cs="Times New Roman"/>
        </w:rPr>
        <w:t xml:space="preserve"> %</w:t>
      </w:r>
      <w:r w:rsidRPr="00654E3B">
        <w:rPr>
          <w:rFonts w:cs="Times New Roman"/>
        </w:rPr>
        <w:t xml:space="preserve"> za prilagodbu i 10,5</w:t>
      </w:r>
      <w:r w:rsidR="00060992" w:rsidRPr="00654E3B">
        <w:rPr>
          <w:rFonts w:cs="Times New Roman"/>
        </w:rPr>
        <w:t xml:space="preserve"> %</w:t>
      </w:r>
      <w:r w:rsidRPr="00654E3B">
        <w:rPr>
          <w:rFonts w:cs="Times New Roman"/>
        </w:rPr>
        <w:t xml:space="preserve"> za ublažavanje i/ili prilagodbu. U Republici Hrvatskoj je raspodjela do 2020. godine sljedeća: 7,1</w:t>
      </w:r>
      <w:r w:rsidR="00060992" w:rsidRPr="00654E3B">
        <w:rPr>
          <w:rFonts w:cs="Times New Roman"/>
        </w:rPr>
        <w:t xml:space="preserve"> %</w:t>
      </w:r>
      <w:r w:rsidRPr="00654E3B">
        <w:rPr>
          <w:rFonts w:cs="Times New Roman"/>
        </w:rPr>
        <w:t xml:space="preserve"> za ublažavanje, 4,7</w:t>
      </w:r>
      <w:r w:rsidR="00060992" w:rsidRPr="00654E3B">
        <w:rPr>
          <w:rFonts w:cs="Times New Roman"/>
        </w:rPr>
        <w:t xml:space="preserve"> %</w:t>
      </w:r>
      <w:r w:rsidRPr="00654E3B">
        <w:rPr>
          <w:rFonts w:cs="Times New Roman"/>
        </w:rPr>
        <w:t xml:space="preserve"> za prilagodbu i 8,8</w:t>
      </w:r>
      <w:r w:rsidR="00060992" w:rsidRPr="00654E3B">
        <w:rPr>
          <w:rFonts w:cs="Times New Roman"/>
        </w:rPr>
        <w:t xml:space="preserve"> %</w:t>
      </w:r>
      <w:r w:rsidRPr="00654E3B">
        <w:rPr>
          <w:rFonts w:cs="Times New Roman"/>
        </w:rPr>
        <w:t xml:space="preserve"> </w:t>
      </w:r>
      <w:r w:rsidR="006E7EAD" w:rsidRPr="00654E3B">
        <w:rPr>
          <w:rFonts w:cs="Times New Roman"/>
        </w:rPr>
        <w:t xml:space="preserve">za </w:t>
      </w:r>
      <w:r w:rsidRPr="00654E3B">
        <w:rPr>
          <w:rFonts w:cs="Times New Roman"/>
        </w:rPr>
        <w:t xml:space="preserve">ublažavanje i/ili prilagodbu. </w:t>
      </w:r>
    </w:p>
    <w:p w:rsidR="007D4A93" w:rsidRPr="00654E3B" w:rsidRDefault="00EF0BEB">
      <w:pPr>
        <w:rPr>
          <w:rFonts w:cs="Times New Roman"/>
          <w:u w:val="single"/>
        </w:rPr>
      </w:pPr>
      <w:r w:rsidRPr="00654E3B">
        <w:rPr>
          <w:rFonts w:cs="Times New Roman"/>
          <w:u w:val="single"/>
        </w:rPr>
        <w:t>Prihodi od prodaje emisijskih jedinica na dražbama ETS-a</w:t>
      </w:r>
    </w:p>
    <w:p w:rsidR="007D4A93" w:rsidRPr="00654E3B" w:rsidRDefault="00EF0BEB">
      <w:pPr>
        <w:rPr>
          <w:rFonts w:cs="Times New Roman"/>
        </w:rPr>
      </w:pPr>
      <w:r w:rsidRPr="00654E3B">
        <w:rPr>
          <w:rFonts w:cs="Times New Roman"/>
        </w:rPr>
        <w:t>Prikupljena sredstva namjenski se koriste sukladno Planu korištenja financijskih sredstava dobivenih od prodaje emisijskih jedinica putem dražbi u Republici Hrvatskoj</w:t>
      </w:r>
      <w:r w:rsidR="000464C7" w:rsidRPr="00654E3B">
        <w:rPr>
          <w:rFonts w:cs="Times New Roman"/>
        </w:rPr>
        <w:t>. Vlada Republike Hrvatske putem Fond</w:t>
      </w:r>
      <w:r w:rsidR="00142224" w:rsidRPr="00654E3B">
        <w:rPr>
          <w:rFonts w:cs="Times New Roman"/>
        </w:rPr>
        <w:t>a</w:t>
      </w:r>
      <w:r w:rsidR="000464C7" w:rsidRPr="00654E3B">
        <w:rPr>
          <w:rFonts w:cs="Times New Roman"/>
        </w:rPr>
        <w:t xml:space="preserve"> za zaštitu okoliša i energetsku učinkovitost (FZOEU)</w:t>
      </w:r>
      <w:r w:rsidR="00586DE7" w:rsidRPr="00654E3B">
        <w:rPr>
          <w:rFonts w:cs="Times New Roman"/>
        </w:rPr>
        <w:t>,</w:t>
      </w:r>
      <w:r w:rsidR="000464C7" w:rsidRPr="00654E3B">
        <w:rPr>
          <w:rFonts w:cs="Times New Roman"/>
        </w:rPr>
        <w:t xml:space="preserve"> </w:t>
      </w:r>
      <w:r w:rsidR="00586DE7" w:rsidRPr="00654E3B">
        <w:rPr>
          <w:rFonts w:cs="Times New Roman"/>
        </w:rPr>
        <w:t xml:space="preserve">financijskim sredstvima </w:t>
      </w:r>
      <w:r w:rsidR="000464C7" w:rsidRPr="00654E3B">
        <w:rPr>
          <w:rFonts w:cs="Times New Roman"/>
        </w:rPr>
        <w:t>od dražbi</w:t>
      </w:r>
      <w:r w:rsidR="00142224" w:rsidRPr="00654E3B">
        <w:rPr>
          <w:rFonts w:cs="Times New Roman"/>
        </w:rPr>
        <w:t xml:space="preserve"> financira mjere</w:t>
      </w:r>
      <w:r w:rsidRPr="00654E3B">
        <w:rPr>
          <w:rFonts w:cs="Times New Roman"/>
        </w:rPr>
        <w:t xml:space="preserve"> u području prometa, energetske učinkovitosti, korištenja obnovljivih izvora energije te drugih mjera koje doprinose smanjenju emisija stakleničkih plinova i prilagodbe klimatskim promjenama. </w:t>
      </w:r>
    </w:p>
    <w:p w:rsidR="007D4A93" w:rsidRPr="00654E3B" w:rsidRDefault="00EF0BEB">
      <w:pPr>
        <w:rPr>
          <w:rFonts w:cs="Times New Roman"/>
          <w:u w:val="single"/>
        </w:rPr>
      </w:pPr>
      <w:r w:rsidRPr="00654E3B">
        <w:rPr>
          <w:rFonts w:cs="Times New Roman"/>
          <w:u w:val="single"/>
        </w:rPr>
        <w:t>Strukturni i investicijski fondovi EU</w:t>
      </w:r>
    </w:p>
    <w:p w:rsidR="007D4A93" w:rsidRPr="00654E3B" w:rsidRDefault="00EF0BEB">
      <w:pPr>
        <w:rPr>
          <w:rFonts w:cs="Times New Roman"/>
        </w:rPr>
      </w:pPr>
      <w:r w:rsidRPr="00654E3B">
        <w:rPr>
          <w:rFonts w:cs="Times New Roman"/>
        </w:rPr>
        <w:t>Za razdoblje od 2014. do 2020. godine</w:t>
      </w:r>
      <w:r w:rsidR="00586DE7" w:rsidRPr="00654E3B">
        <w:rPr>
          <w:rFonts w:cs="Times New Roman"/>
        </w:rPr>
        <w:t>,</w:t>
      </w:r>
      <w:r w:rsidRPr="00654E3B">
        <w:rPr>
          <w:rFonts w:cs="Times New Roman"/>
        </w:rPr>
        <w:t xml:space="preserve"> klimatske aktivnosti financiraju se kroz Operativni program konkurentnost i kohezija, kroz Operativni program učinkoviti ljudski resursi, Operativni program Pomorstvo i ribarstvo te Program ruralnog razvoja. Navedeni operativni programi povlače sredstva iz Europskog fonda za regionalni razvoj (EFRR), Europskog poljoprivrednog fonda za ruralni razvoj (EPFRR), Europskog fonda za pomorstvo i ribarstvo (EFPR) i Europskog kohezijskog fonda (KF). </w:t>
      </w:r>
    </w:p>
    <w:p w:rsidR="007D4A93" w:rsidRPr="00654E3B" w:rsidRDefault="00EF0BEB">
      <w:pPr>
        <w:rPr>
          <w:rFonts w:cs="Times New Roman"/>
        </w:rPr>
      </w:pPr>
      <w:r w:rsidRPr="00654E3B">
        <w:rPr>
          <w:rFonts w:cs="Times New Roman"/>
        </w:rPr>
        <w:t xml:space="preserve">Zajednička pravila financiranja iz strukturnih i investicijskih fondova za razdoblje </w:t>
      </w:r>
      <w:r w:rsidR="006F55AE" w:rsidRPr="00654E3B">
        <w:rPr>
          <w:rFonts w:cs="Times New Roman"/>
        </w:rPr>
        <w:t xml:space="preserve">od </w:t>
      </w:r>
      <w:r w:rsidRPr="00654E3B">
        <w:rPr>
          <w:rFonts w:cs="Times New Roman"/>
        </w:rPr>
        <w:t>2014. do 2020.</w:t>
      </w:r>
      <w:r w:rsidR="00586DE7" w:rsidRPr="00654E3B">
        <w:rPr>
          <w:rFonts w:cs="Times New Roman"/>
        </w:rPr>
        <w:t>,</w:t>
      </w:r>
      <w:r w:rsidRPr="00654E3B">
        <w:rPr>
          <w:rFonts w:cs="Times New Roman"/>
        </w:rPr>
        <w:t xml:space="preserve"> </w:t>
      </w:r>
      <w:r w:rsidR="006F55AE" w:rsidRPr="00654E3B">
        <w:rPr>
          <w:rFonts w:cs="Times New Roman"/>
        </w:rPr>
        <w:t xml:space="preserve">imala </w:t>
      </w:r>
      <w:r w:rsidRPr="00654E3B">
        <w:rPr>
          <w:rFonts w:cs="Times New Roman"/>
        </w:rPr>
        <w:t xml:space="preserve">su </w:t>
      </w:r>
      <w:r w:rsidR="006F55AE" w:rsidRPr="00654E3B">
        <w:rPr>
          <w:rFonts w:cs="Times New Roman"/>
        </w:rPr>
        <w:t xml:space="preserve">pravila </w:t>
      </w:r>
      <w:r w:rsidRPr="00654E3B">
        <w:rPr>
          <w:rFonts w:cs="Times New Roman"/>
        </w:rPr>
        <w:t>da se kroz sve operativne programe minimalno 20</w:t>
      </w:r>
      <w:r w:rsidR="00060992" w:rsidRPr="00654E3B">
        <w:rPr>
          <w:rFonts w:cs="Times New Roman"/>
        </w:rPr>
        <w:t xml:space="preserve"> %</w:t>
      </w:r>
      <w:r w:rsidRPr="00654E3B">
        <w:rPr>
          <w:rFonts w:cs="Times New Roman"/>
        </w:rPr>
        <w:t xml:space="preserve"> sredstava koristiti za klimatske aktivnosti – ublažavanje i prilagodbu klimatskim promjenama (kroz operativne programe Republika Hrvatska je alocirala 20,4</w:t>
      </w:r>
      <w:r w:rsidR="00060992" w:rsidRPr="00654E3B">
        <w:rPr>
          <w:rFonts w:cs="Times New Roman"/>
        </w:rPr>
        <w:t xml:space="preserve"> %</w:t>
      </w:r>
      <w:r w:rsidRPr="00654E3B">
        <w:rPr>
          <w:rFonts w:cs="Times New Roman"/>
        </w:rPr>
        <w:t xml:space="preserve">). </w:t>
      </w:r>
    </w:p>
    <w:p w:rsidR="00686AFF" w:rsidRPr="00654E3B" w:rsidRDefault="00EF0BEB">
      <w:pPr>
        <w:rPr>
          <w:rFonts w:cs="Times New Roman"/>
        </w:rPr>
      </w:pPr>
      <w:r w:rsidRPr="00654E3B">
        <w:rPr>
          <w:rFonts w:cs="Times New Roman"/>
        </w:rPr>
        <w:t>Za financijsko razdoblje od 2021. do 2027. godine</w:t>
      </w:r>
      <w:r w:rsidR="006F55AE" w:rsidRPr="00654E3B">
        <w:rPr>
          <w:rFonts w:cs="Times New Roman"/>
        </w:rPr>
        <w:t xml:space="preserve"> </w:t>
      </w:r>
      <w:r w:rsidRPr="00654E3B">
        <w:rPr>
          <w:rFonts w:cs="Times New Roman"/>
        </w:rPr>
        <w:t xml:space="preserve">pet </w:t>
      </w:r>
      <w:r w:rsidR="006F55AE" w:rsidRPr="00654E3B">
        <w:rPr>
          <w:rFonts w:cs="Times New Roman"/>
        </w:rPr>
        <w:t xml:space="preserve">je </w:t>
      </w:r>
      <w:r w:rsidRPr="00654E3B">
        <w:rPr>
          <w:rFonts w:cs="Times New Roman"/>
        </w:rPr>
        <w:t>ciljeva kohezijske politike: 1) Pametnija Europa, 2) Zelena Europa – s niskom razinom emisija ugljika promicanjem prelaska na čistu i pravednu energiju, zelenih i plavih ulaganja, kružnog gospodarstva, prilagodbe klimatskim promjenama i upravljanje rizicima i njihovo sprječavanje, 3) Povezanija Europa, 4) Europa s istaknutim socijalnim komponentama</w:t>
      </w:r>
      <w:r w:rsidR="00586DE7" w:rsidRPr="00654E3B">
        <w:rPr>
          <w:rFonts w:cs="Times New Roman"/>
        </w:rPr>
        <w:t xml:space="preserve"> i </w:t>
      </w:r>
      <w:r w:rsidRPr="00654E3B">
        <w:rPr>
          <w:rFonts w:cs="Times New Roman"/>
        </w:rPr>
        <w:t xml:space="preserve">5) Europa bliža građanima. Financiranje je previđeno iz sedam fondova od kojih </w:t>
      </w:r>
      <w:r w:rsidR="006F55AE" w:rsidRPr="00654E3B">
        <w:rPr>
          <w:rFonts w:cs="Times New Roman"/>
        </w:rPr>
        <w:t xml:space="preserve">su </w:t>
      </w:r>
      <w:r w:rsidRPr="00654E3B">
        <w:rPr>
          <w:rFonts w:cs="Times New Roman"/>
        </w:rPr>
        <w:t>četiri potencijalno raspoloživi za klimatske aktivnosti: Europski fond za regionalni razvoj (EFRR), Kohezijski fond (KF), Europski socijalni fond plus (ESF+) i Europski fond za pomorstvo i ribarstvo (EFPR).</w:t>
      </w:r>
    </w:p>
    <w:p w:rsidR="007D4A93" w:rsidRPr="00654E3B" w:rsidRDefault="00686AFF">
      <w:pPr>
        <w:rPr>
          <w:rFonts w:cs="Times New Roman"/>
        </w:rPr>
      </w:pPr>
      <w:r w:rsidRPr="00654E3B">
        <w:rPr>
          <w:rFonts w:cs="Times New Roman"/>
        </w:rPr>
        <w:t xml:space="preserve">Hrvatska će iz 750 milijardi eura vrijednog paketa pomoći za gospodarski oporavak država članica te kroz izmijenjeni </w:t>
      </w:r>
      <w:r w:rsidR="006F55AE" w:rsidRPr="00654E3B">
        <w:rPr>
          <w:rFonts w:cs="Times New Roman"/>
        </w:rPr>
        <w:t>V</w:t>
      </w:r>
      <w:r w:rsidRPr="00654E3B">
        <w:rPr>
          <w:rFonts w:cs="Times New Roman"/>
        </w:rPr>
        <w:t xml:space="preserve">išegodišnji financijski okvir, odnosno proračun Europske unije za razdoblje 2021. – 2027., na raspolaganju imati više od 23,5 milijarde eura (što je preko 40 </w:t>
      </w:r>
      <w:r w:rsidR="00060992" w:rsidRPr="00654E3B">
        <w:rPr>
          <w:rFonts w:cs="Times New Roman"/>
        </w:rPr>
        <w:t xml:space="preserve"> %</w:t>
      </w:r>
      <w:r w:rsidRPr="00654E3B">
        <w:rPr>
          <w:rFonts w:cs="Times New Roman"/>
        </w:rPr>
        <w:t xml:space="preserve"> godišnjeg BDP-a Hrvatske), </w:t>
      </w:r>
      <w:r w:rsidR="002837DA" w:rsidRPr="00654E3B">
        <w:rPr>
          <w:rFonts w:cs="Times New Roman"/>
        </w:rPr>
        <w:t xml:space="preserve">a </w:t>
      </w:r>
      <w:r w:rsidRPr="00654E3B">
        <w:rPr>
          <w:rFonts w:cs="Times New Roman"/>
        </w:rPr>
        <w:t>što predstavlja snažnu po</w:t>
      </w:r>
      <w:r w:rsidR="00586DE7" w:rsidRPr="00654E3B">
        <w:rPr>
          <w:rFonts w:cs="Times New Roman"/>
        </w:rPr>
        <w:t>d</w:t>
      </w:r>
      <w:r w:rsidRPr="00654E3B">
        <w:rPr>
          <w:rFonts w:cs="Times New Roman"/>
        </w:rPr>
        <w:t xml:space="preserve">logu za gospodarski rast i razvoj. Više od 30 </w:t>
      </w:r>
      <w:r w:rsidR="00060992" w:rsidRPr="00654E3B">
        <w:rPr>
          <w:rFonts w:cs="Times New Roman"/>
        </w:rPr>
        <w:t xml:space="preserve"> %</w:t>
      </w:r>
      <w:r w:rsidRPr="00654E3B">
        <w:rPr>
          <w:rFonts w:cs="Times New Roman"/>
        </w:rPr>
        <w:t xml:space="preserve"> tih sredstava trebat će uložiti u niskougljični razvoj radi postizanja klimatske neutralnosti te povećanja otpornosti na klimatske promjene.</w:t>
      </w:r>
      <w:r w:rsidR="00EF0BEB" w:rsidRPr="00654E3B">
        <w:rPr>
          <w:rFonts w:cs="Times New Roman"/>
        </w:rPr>
        <w:t xml:space="preserve"> </w:t>
      </w:r>
    </w:p>
    <w:p w:rsidR="007D4A93" w:rsidRPr="00654E3B" w:rsidRDefault="002837DA">
      <w:pPr>
        <w:rPr>
          <w:rFonts w:cs="Times New Roman"/>
          <w:u w:val="single"/>
        </w:rPr>
      </w:pPr>
      <w:r w:rsidRPr="00654E3B">
        <w:rPr>
          <w:rFonts w:cs="Times New Roman"/>
          <w:u w:val="single"/>
        </w:rPr>
        <w:t>M</w:t>
      </w:r>
      <w:r w:rsidR="00EF0BEB" w:rsidRPr="00654E3B">
        <w:rPr>
          <w:rFonts w:cs="Times New Roman"/>
          <w:u w:val="single"/>
        </w:rPr>
        <w:t>odernizacij</w:t>
      </w:r>
      <w:r w:rsidRPr="00654E3B">
        <w:rPr>
          <w:rFonts w:cs="Times New Roman"/>
          <w:u w:val="single"/>
        </w:rPr>
        <w:t>ski fond</w:t>
      </w:r>
    </w:p>
    <w:p w:rsidR="007D4A93" w:rsidRPr="00654E3B" w:rsidRDefault="00EF0BEB">
      <w:pPr>
        <w:rPr>
          <w:rFonts w:cs="Times New Roman"/>
        </w:rPr>
      </w:pPr>
      <w:r w:rsidRPr="00654E3B">
        <w:rPr>
          <w:rFonts w:cs="Times New Roman"/>
        </w:rPr>
        <w:t xml:space="preserve">Od 2021. godine </w:t>
      </w:r>
      <w:r w:rsidR="00565E28" w:rsidRPr="00654E3B">
        <w:rPr>
          <w:rFonts w:cs="Times New Roman"/>
        </w:rPr>
        <w:t>uspostavlja</w:t>
      </w:r>
      <w:r w:rsidR="0098287C" w:rsidRPr="00654E3B">
        <w:rPr>
          <w:rFonts w:cs="Times New Roman"/>
        </w:rPr>
        <w:t xml:space="preserve"> </w:t>
      </w:r>
      <w:r w:rsidRPr="00654E3B">
        <w:rPr>
          <w:rFonts w:cs="Times New Roman"/>
        </w:rPr>
        <w:t xml:space="preserve">se </w:t>
      </w:r>
      <w:r w:rsidR="002837DA" w:rsidRPr="00654E3B">
        <w:rPr>
          <w:rFonts w:cs="Times New Roman"/>
        </w:rPr>
        <w:t>M</w:t>
      </w:r>
      <w:r w:rsidRPr="00654E3B">
        <w:rPr>
          <w:rFonts w:cs="Times New Roman"/>
        </w:rPr>
        <w:t>odernizacij</w:t>
      </w:r>
      <w:r w:rsidR="002837DA" w:rsidRPr="00654E3B">
        <w:rPr>
          <w:rFonts w:cs="Times New Roman"/>
        </w:rPr>
        <w:t>ski fond</w:t>
      </w:r>
      <w:r w:rsidRPr="00654E3B">
        <w:rPr>
          <w:rFonts w:cs="Times New Roman"/>
        </w:rPr>
        <w:t xml:space="preserve"> u okviru ETS sustava</w:t>
      </w:r>
      <w:r w:rsidR="00586DE7" w:rsidRPr="00654E3B">
        <w:rPr>
          <w:rFonts w:cs="Times New Roman"/>
        </w:rPr>
        <w:t>,</w:t>
      </w:r>
      <w:r w:rsidRPr="00654E3B">
        <w:rPr>
          <w:rFonts w:cs="Times New Roman"/>
        </w:rPr>
        <w:t xml:space="preserve"> namijenjen kao potpora investicijama za modernizaciju energetskog</w:t>
      </w:r>
      <w:r w:rsidR="002837DA" w:rsidRPr="00654E3B">
        <w:rPr>
          <w:rFonts w:cs="Times New Roman"/>
        </w:rPr>
        <w:t xml:space="preserve"> i industrijskog</w:t>
      </w:r>
      <w:r w:rsidRPr="00654E3B">
        <w:rPr>
          <w:rFonts w:cs="Times New Roman"/>
        </w:rPr>
        <w:t xml:space="preserve"> sektora, kao i za povećanje energetske učinkovitosti. Sredstava iz ovoga Fonda namijenjena su državama članicama s BDP-om po stanovniku manjim od 60</w:t>
      </w:r>
      <w:r w:rsidR="00060992" w:rsidRPr="00654E3B">
        <w:rPr>
          <w:rFonts w:cs="Times New Roman"/>
        </w:rPr>
        <w:t xml:space="preserve"> %</w:t>
      </w:r>
      <w:r w:rsidRPr="00654E3B">
        <w:rPr>
          <w:rFonts w:cs="Times New Roman"/>
        </w:rPr>
        <w:t xml:space="preserve"> u odnosu na prosjek EU ostvaren 2013. godine, a među njih se ubraja i Republika Hrvatska. Dodjela sredstava iz </w:t>
      </w:r>
      <w:r w:rsidR="002837DA" w:rsidRPr="00654E3B">
        <w:rPr>
          <w:rFonts w:cs="Times New Roman"/>
        </w:rPr>
        <w:t>M</w:t>
      </w:r>
      <w:r w:rsidRPr="00654E3B">
        <w:rPr>
          <w:rFonts w:cs="Times New Roman"/>
        </w:rPr>
        <w:t>odernizacij</w:t>
      </w:r>
      <w:r w:rsidR="002837DA" w:rsidRPr="00654E3B">
        <w:rPr>
          <w:rFonts w:cs="Times New Roman"/>
        </w:rPr>
        <w:t>skog fonda</w:t>
      </w:r>
      <w:r w:rsidRPr="00654E3B">
        <w:rPr>
          <w:rFonts w:cs="Times New Roman"/>
        </w:rPr>
        <w:t xml:space="preserve"> biti će putem natječaja koje raspisuje država članica koja ujedno i daje prijedloge projekata. </w:t>
      </w:r>
    </w:p>
    <w:p w:rsidR="007D4A93" w:rsidRPr="00654E3B" w:rsidRDefault="00EF0BEB">
      <w:pPr>
        <w:rPr>
          <w:rFonts w:cs="Times New Roman"/>
          <w:b/>
        </w:rPr>
      </w:pPr>
      <w:r w:rsidRPr="00654E3B">
        <w:rPr>
          <w:rFonts w:cs="Times New Roman"/>
        </w:rPr>
        <w:t xml:space="preserve">Sredstvima </w:t>
      </w:r>
      <w:r w:rsidR="0047205B" w:rsidRPr="00654E3B">
        <w:rPr>
          <w:rFonts w:cs="Times New Roman"/>
        </w:rPr>
        <w:t>M</w:t>
      </w:r>
      <w:r w:rsidRPr="00654E3B">
        <w:rPr>
          <w:rFonts w:cs="Times New Roman"/>
        </w:rPr>
        <w:t>odernizacij</w:t>
      </w:r>
      <w:r w:rsidR="0047205B" w:rsidRPr="00654E3B">
        <w:rPr>
          <w:rFonts w:cs="Times New Roman"/>
        </w:rPr>
        <w:t>skog fonda</w:t>
      </w:r>
      <w:r w:rsidRPr="00654E3B">
        <w:rPr>
          <w:rFonts w:cs="Times New Roman"/>
        </w:rPr>
        <w:t xml:space="preserve"> predviđeno je financiranje projekata malih ulaganja, modernizacija energetskih sustava i</w:t>
      </w:r>
      <w:r w:rsidR="0047205B" w:rsidRPr="00654E3B">
        <w:rPr>
          <w:rFonts w:cs="Times New Roman"/>
        </w:rPr>
        <w:t xml:space="preserve"> industrije te</w:t>
      </w:r>
      <w:r w:rsidRPr="00654E3B">
        <w:rPr>
          <w:rFonts w:cs="Times New Roman"/>
        </w:rPr>
        <w:t xml:space="preserve"> poboljšanje energetske učinkovitosti u državama članicama. Najmanje 70</w:t>
      </w:r>
      <w:r w:rsidR="00060992" w:rsidRPr="00654E3B">
        <w:rPr>
          <w:rFonts w:cs="Times New Roman"/>
        </w:rPr>
        <w:t xml:space="preserve"> %</w:t>
      </w:r>
      <w:r w:rsidRPr="00654E3B">
        <w:rPr>
          <w:rFonts w:cs="Times New Roman"/>
        </w:rPr>
        <w:t xml:space="preserve"> financijskih sredstava iz </w:t>
      </w:r>
      <w:r w:rsidR="000703AF" w:rsidRPr="00654E3B">
        <w:rPr>
          <w:rFonts w:cs="Times New Roman"/>
        </w:rPr>
        <w:t>M</w:t>
      </w:r>
      <w:r w:rsidRPr="00654E3B">
        <w:rPr>
          <w:rFonts w:cs="Times New Roman"/>
        </w:rPr>
        <w:t>odernizacij</w:t>
      </w:r>
      <w:r w:rsidR="000703AF" w:rsidRPr="00654E3B">
        <w:rPr>
          <w:rFonts w:cs="Times New Roman"/>
        </w:rPr>
        <w:t>skog fonda</w:t>
      </w:r>
      <w:r w:rsidRPr="00654E3B">
        <w:rPr>
          <w:rFonts w:cs="Times New Roman"/>
        </w:rPr>
        <w:t xml:space="preserve"> predviđeno je za potporu ulaganjima u proizvodnju i uporabu električne energije iz obnovljivih izvora, poboljšanje energetske učinkovitosti, izuzev energetske učinkovitosti vezane za proizvodnju energije pri čemu se upotrebljavaju kruta fosilna goriva, skladištenje energije i modernizaciju energetskih mreža, kao i za potporu pravednom prijelazu u regijama koje ovise o ugljiku u državama članicama korisnicama, kako bi se pružila potpora </w:t>
      </w:r>
      <w:r w:rsidRPr="00654E3B">
        <w:rPr>
          <w:rFonts w:cs="Times New Roman"/>
        </w:rPr>
        <w:lastRenderedPageBreak/>
        <w:t xml:space="preserve">preraspoređivanju, prekvalifikaciji i usavršavanju radnika, obrazovanju, inicijativama pri zapošljavanju i osnivanju poduzeća. </w:t>
      </w:r>
      <w:r w:rsidR="000703AF" w:rsidRPr="00654E3B">
        <w:rPr>
          <w:rFonts w:cs="Times New Roman"/>
        </w:rPr>
        <w:t>Pravna osnova za provedbu M</w:t>
      </w:r>
      <w:r w:rsidRPr="00654E3B">
        <w:rPr>
          <w:rFonts w:cs="Times New Roman"/>
        </w:rPr>
        <w:t>odernizacij</w:t>
      </w:r>
      <w:r w:rsidR="000703AF" w:rsidRPr="00654E3B">
        <w:rPr>
          <w:rFonts w:cs="Times New Roman"/>
        </w:rPr>
        <w:t>skog fonda</w:t>
      </w:r>
      <w:r w:rsidRPr="00654E3B">
        <w:rPr>
          <w:rFonts w:cs="Times New Roman"/>
        </w:rPr>
        <w:t xml:space="preserve"> </w:t>
      </w:r>
      <w:r w:rsidR="000703AF" w:rsidRPr="00654E3B">
        <w:rPr>
          <w:rFonts w:cs="Times New Roman"/>
        </w:rPr>
        <w:t>dana je u</w:t>
      </w:r>
      <w:r w:rsidRPr="00654E3B">
        <w:rPr>
          <w:rFonts w:cs="Times New Roman"/>
        </w:rPr>
        <w:t xml:space="preserve"> Zakon</w:t>
      </w:r>
      <w:r w:rsidR="000703AF" w:rsidRPr="00654E3B">
        <w:rPr>
          <w:rFonts w:cs="Times New Roman"/>
        </w:rPr>
        <w:t>u</w:t>
      </w:r>
      <w:r w:rsidRPr="00654E3B">
        <w:rPr>
          <w:rFonts w:cs="Times New Roman"/>
        </w:rPr>
        <w:t xml:space="preserve"> o klimatskim promjenama i zaštiti ozonskog </w:t>
      </w:r>
      <w:r w:rsidR="00AE3F12" w:rsidRPr="00654E3B">
        <w:rPr>
          <w:rFonts w:cs="Times New Roman"/>
        </w:rPr>
        <w:t xml:space="preserve">sloja </w:t>
      </w:r>
      <w:r w:rsidRPr="00654E3B">
        <w:rPr>
          <w:rFonts w:cs="Times New Roman"/>
        </w:rPr>
        <w:t>(</w:t>
      </w:r>
      <w:r w:rsidR="001C0429" w:rsidRPr="00654E3B">
        <w:rPr>
          <w:rFonts w:cs="Times New Roman"/>
        </w:rPr>
        <w:t>Narodne novine</w:t>
      </w:r>
      <w:r w:rsidR="008D7D1F" w:rsidRPr="00654E3B">
        <w:rPr>
          <w:rFonts w:cs="Times New Roman"/>
        </w:rPr>
        <w:t>,</w:t>
      </w:r>
      <w:r w:rsidRPr="00654E3B">
        <w:rPr>
          <w:rFonts w:cs="Times New Roman"/>
        </w:rPr>
        <w:t xml:space="preserve"> </w:t>
      </w:r>
      <w:r w:rsidR="001C0429" w:rsidRPr="00654E3B">
        <w:rPr>
          <w:rFonts w:cs="Times New Roman"/>
        </w:rPr>
        <w:t xml:space="preserve">broj </w:t>
      </w:r>
      <w:r w:rsidRPr="00654E3B">
        <w:rPr>
          <w:rFonts w:cs="Times New Roman"/>
        </w:rPr>
        <w:t xml:space="preserve">127/19). </w:t>
      </w:r>
    </w:p>
    <w:p w:rsidR="007D4A93" w:rsidRPr="00654E3B" w:rsidRDefault="000703AF">
      <w:pPr>
        <w:rPr>
          <w:rFonts w:cs="Times New Roman"/>
          <w:u w:val="single"/>
        </w:rPr>
      </w:pPr>
      <w:r w:rsidRPr="00654E3B">
        <w:rPr>
          <w:rFonts w:cs="Times New Roman"/>
          <w:u w:val="single"/>
        </w:rPr>
        <w:t>I</w:t>
      </w:r>
      <w:r w:rsidR="00EF0BEB" w:rsidRPr="00654E3B">
        <w:rPr>
          <w:rFonts w:cs="Times New Roman"/>
          <w:u w:val="single"/>
        </w:rPr>
        <w:t>novacij</w:t>
      </w:r>
      <w:r w:rsidRPr="00654E3B">
        <w:rPr>
          <w:rFonts w:cs="Times New Roman"/>
          <w:u w:val="single"/>
        </w:rPr>
        <w:t>ski fond</w:t>
      </w:r>
      <w:r w:rsidR="00EF0BEB" w:rsidRPr="00654E3B">
        <w:rPr>
          <w:rFonts w:cs="Times New Roman"/>
          <w:u w:val="single"/>
        </w:rPr>
        <w:t xml:space="preserve"> (NER 400)</w:t>
      </w:r>
    </w:p>
    <w:p w:rsidR="007D4A93" w:rsidRPr="00654E3B" w:rsidRDefault="00EF0BEB">
      <w:pPr>
        <w:rPr>
          <w:rFonts w:cs="Times New Roman"/>
        </w:rPr>
      </w:pPr>
      <w:r w:rsidRPr="00654E3B">
        <w:rPr>
          <w:rFonts w:cs="Times New Roman"/>
        </w:rPr>
        <w:t>D</w:t>
      </w:r>
      <w:r w:rsidR="000703AF" w:rsidRPr="00654E3B">
        <w:rPr>
          <w:rFonts w:cs="Times New Roman"/>
        </w:rPr>
        <w:t xml:space="preserve">elegiranom uredbom Komisije </w:t>
      </w:r>
      <w:r w:rsidRPr="00654E3B">
        <w:rPr>
          <w:rFonts w:cs="Times New Roman"/>
        </w:rPr>
        <w:t xml:space="preserve">2019/856 propisuje se da su sredstva </w:t>
      </w:r>
      <w:r w:rsidR="000703AF" w:rsidRPr="00654E3B">
        <w:rPr>
          <w:rFonts w:cs="Times New Roman"/>
        </w:rPr>
        <w:t>I</w:t>
      </w:r>
      <w:r w:rsidRPr="00654E3B">
        <w:rPr>
          <w:rFonts w:cs="Times New Roman"/>
        </w:rPr>
        <w:t>novacij</w:t>
      </w:r>
      <w:r w:rsidR="000703AF" w:rsidRPr="00654E3B">
        <w:rPr>
          <w:rFonts w:cs="Times New Roman"/>
        </w:rPr>
        <w:t>skog fonda</w:t>
      </w:r>
      <w:r w:rsidRPr="00654E3B">
        <w:rPr>
          <w:rFonts w:cs="Times New Roman"/>
        </w:rPr>
        <w:t xml:space="preserve"> namijenjena inovacijskim projektima (isključivo „prvima za određenu vrstu tehnologije“)</w:t>
      </w:r>
      <w:r w:rsidR="00AE3F12" w:rsidRPr="00654E3B">
        <w:rPr>
          <w:rFonts w:cs="Times New Roman"/>
        </w:rPr>
        <w:t>,</w:t>
      </w:r>
      <w:r w:rsidRPr="00654E3B">
        <w:rPr>
          <w:rFonts w:cs="Times New Roman"/>
        </w:rPr>
        <w:t xml:space="preserve"> obnovljivih izvora energije, hvatanja i skladištenja ugljikova dioksida i energetski intenzivnih industrija. Time bi se nastavilo s primjenom postojećeg mehanizma financiranja projekata, tzv. NER 300. Dodjela sredstava iz </w:t>
      </w:r>
      <w:r w:rsidR="000703AF" w:rsidRPr="00654E3B">
        <w:rPr>
          <w:rFonts w:cs="Times New Roman"/>
        </w:rPr>
        <w:t>I</w:t>
      </w:r>
      <w:r w:rsidRPr="00654E3B">
        <w:rPr>
          <w:rFonts w:cs="Times New Roman"/>
        </w:rPr>
        <w:t>novacij</w:t>
      </w:r>
      <w:r w:rsidR="000703AF" w:rsidRPr="00654E3B">
        <w:rPr>
          <w:rFonts w:cs="Times New Roman"/>
        </w:rPr>
        <w:t>skog fonda</w:t>
      </w:r>
      <w:r w:rsidRPr="00654E3B">
        <w:rPr>
          <w:rFonts w:cs="Times New Roman"/>
        </w:rPr>
        <w:t xml:space="preserve"> biti će putem otvorenih poziva na podnošenje prijedloga projekata koje objavljuje EK.</w:t>
      </w:r>
    </w:p>
    <w:p w:rsidR="007D4A93" w:rsidRPr="00654E3B" w:rsidRDefault="00EF0BEB">
      <w:pPr>
        <w:rPr>
          <w:rFonts w:cs="Times New Roman"/>
          <w:u w:val="single"/>
        </w:rPr>
      </w:pPr>
      <w:r w:rsidRPr="00654E3B">
        <w:rPr>
          <w:rFonts w:cs="Times New Roman"/>
          <w:u w:val="single"/>
        </w:rPr>
        <w:t>Fond za povezivanje Europe (Co</w:t>
      </w:r>
      <w:r w:rsidR="00023BC3" w:rsidRPr="00654E3B">
        <w:rPr>
          <w:rFonts w:cs="Times New Roman"/>
          <w:u w:val="single"/>
        </w:rPr>
        <w:t>nn</w:t>
      </w:r>
      <w:r w:rsidRPr="00654E3B">
        <w:rPr>
          <w:rFonts w:cs="Times New Roman"/>
          <w:u w:val="single"/>
        </w:rPr>
        <w:t>ecting Europe Facility)</w:t>
      </w:r>
    </w:p>
    <w:p w:rsidR="007D4A93" w:rsidRPr="00654E3B" w:rsidRDefault="00EF0BEB">
      <w:pPr>
        <w:rPr>
          <w:rFonts w:cs="Times New Roman"/>
        </w:rPr>
      </w:pPr>
      <w:r w:rsidRPr="00654E3B">
        <w:rPr>
          <w:rFonts w:cs="Times New Roman"/>
        </w:rPr>
        <w:t>Co</w:t>
      </w:r>
      <w:r w:rsidR="006C09E4" w:rsidRPr="00654E3B">
        <w:rPr>
          <w:rFonts w:cs="Times New Roman"/>
        </w:rPr>
        <w:t>nn</w:t>
      </w:r>
      <w:r w:rsidRPr="00654E3B">
        <w:rPr>
          <w:rFonts w:cs="Times New Roman"/>
        </w:rPr>
        <w:t xml:space="preserve">ecting Europe Facility (CEF) je važan instrument </w:t>
      </w:r>
      <w:r w:rsidR="006C09E4" w:rsidRPr="00654E3B">
        <w:rPr>
          <w:rFonts w:cs="Times New Roman"/>
        </w:rPr>
        <w:t xml:space="preserve">EU-a </w:t>
      </w:r>
      <w:r w:rsidRPr="00654E3B">
        <w:rPr>
          <w:rFonts w:cs="Times New Roman"/>
        </w:rPr>
        <w:t>za financiranje s ciljem promocije rasta, novih poslova i konkurentnosti</w:t>
      </w:r>
      <w:r w:rsidR="00AE3F12" w:rsidRPr="00654E3B">
        <w:rPr>
          <w:rFonts w:cs="Times New Roman"/>
        </w:rPr>
        <w:t>,</w:t>
      </w:r>
      <w:r w:rsidRPr="00654E3B">
        <w:rPr>
          <w:rFonts w:cs="Times New Roman"/>
        </w:rPr>
        <w:t xml:space="preserve"> kroz ulaganja u ciljanu infrastrukturu na razini EU. Podupire razvoj visokoučinkovitih i održivih trans-europskih mreža u području prometa, energije i digitalnih usluga. Kao takav značajnim dijelom omogućuje financiranje mjera koje doprinose niskougljičnom razvoju. CEF daje bespovratna sredstva, ali i inovativne financijske instrumente kao što su garancije ili projektne obveznice. Na taj način se ostvaruje veći učinak sredstava te se pokreću investicije iz privatnog sektora i ostalih javnih mogućnosti.</w:t>
      </w:r>
    </w:p>
    <w:p w:rsidR="007D4A93" w:rsidRPr="00654E3B" w:rsidRDefault="00EF0BEB" w:rsidP="0005019E">
      <w:pPr>
        <w:keepNext/>
        <w:rPr>
          <w:rFonts w:cs="Times New Roman"/>
          <w:u w:val="single"/>
        </w:rPr>
      </w:pPr>
      <w:r w:rsidRPr="00654E3B">
        <w:rPr>
          <w:rFonts w:cs="Times New Roman"/>
          <w:u w:val="single"/>
        </w:rPr>
        <w:t xml:space="preserve">Europski fond za strateška ulaganja (EFSU) </w:t>
      </w:r>
    </w:p>
    <w:p w:rsidR="007D4A93" w:rsidRPr="00654E3B" w:rsidRDefault="00EF0BEB" w:rsidP="0005019E">
      <w:pPr>
        <w:keepNext/>
        <w:rPr>
          <w:rFonts w:cs="Times New Roman"/>
        </w:rPr>
      </w:pPr>
      <w:r w:rsidRPr="00654E3B">
        <w:rPr>
          <w:rFonts w:cs="Times New Roman"/>
        </w:rPr>
        <w:t>Europski fond za strateška ulaganja (EFSU) ključan je element Plana ulaganja za Europu, čija je svrha poticanje dugoročnog gospodarskog rasta i konkurentnosti u EU. Cilj je tog fonda doprinijeti upotrebi javnih sredstava, među ostalim sredstava iz proračuna EU-a, kako bi se potaknula privatna ulaganja u širok raspon projekata u EU-u. Projektima su među ostalim obuhvaćena područja poput infrastrukture, istraživanja i inovacija, obrazovanja, zdravstva, informacijske i komunikacijske tehnologije.</w:t>
      </w:r>
    </w:p>
    <w:p w:rsidR="007D4A93" w:rsidRPr="00654E3B" w:rsidRDefault="00EF0BEB" w:rsidP="0005019E">
      <w:pPr>
        <w:keepNext/>
        <w:rPr>
          <w:rFonts w:cs="Times New Roman"/>
          <w:u w:val="single"/>
        </w:rPr>
      </w:pPr>
      <w:r w:rsidRPr="00654E3B">
        <w:rPr>
          <w:rFonts w:cs="Times New Roman"/>
          <w:u w:val="single"/>
        </w:rPr>
        <w:t>Europski energetski program za oporavak (EEPR) i Europski fond za energetsku učinkovitost (EEEF)</w:t>
      </w:r>
    </w:p>
    <w:p w:rsidR="007D4A93" w:rsidRPr="00654E3B" w:rsidRDefault="00EF0BEB" w:rsidP="0005019E">
      <w:pPr>
        <w:keepNext/>
        <w:rPr>
          <w:rFonts w:cs="Times New Roman"/>
        </w:rPr>
      </w:pPr>
      <w:r w:rsidRPr="00654E3B">
        <w:rPr>
          <w:rFonts w:cs="Times New Roman"/>
        </w:rPr>
        <w:t>Europski energetski program za oporavak (EEPR) omogućava odobrenje financijske pomoći u sektoru energetike, posebice za uvođenje međusobno povezanih infrastruktura, proizvodnju energije koja se temelji na obnovljivim izvorima, hvatanje ugljikovog dioksida i promicanje energetske učinkovitosti. Cilj programa je ostvarivanje ušteda u potrošnji primarne energije i smanjenju emisija stakleničkih plinova.</w:t>
      </w:r>
    </w:p>
    <w:p w:rsidR="007D4A93" w:rsidRPr="00654E3B" w:rsidRDefault="00EF0BEB">
      <w:pPr>
        <w:rPr>
          <w:rFonts w:cs="Times New Roman"/>
        </w:rPr>
      </w:pPr>
      <w:r w:rsidRPr="00654E3B">
        <w:rPr>
          <w:rFonts w:cs="Times New Roman"/>
        </w:rPr>
        <w:t>U okviru Europskog fonda za energetsku učinkovitost (EEEF)</w:t>
      </w:r>
      <w:r w:rsidR="00477129" w:rsidRPr="00654E3B">
        <w:rPr>
          <w:rFonts w:cs="Times New Roman"/>
        </w:rPr>
        <w:t>,</w:t>
      </w:r>
      <w:r w:rsidRPr="00654E3B">
        <w:rPr>
          <w:rFonts w:cs="Times New Roman"/>
        </w:rPr>
        <w:t xml:space="preserve"> obuhvaćena su namjenska financiranja projekata u područjima energetske učinkovitosti, obnovljivih izvora energije i čistog gradskog prijevoza. Korisnici su lokalna ili regionalna javna tijela ili privatni subjekti koji djeluju u njihovo ime.</w:t>
      </w:r>
    </w:p>
    <w:p w:rsidR="007D4A93" w:rsidRPr="00654E3B" w:rsidRDefault="00EF0BEB">
      <w:pPr>
        <w:rPr>
          <w:rFonts w:cs="Times New Roman"/>
          <w:u w:val="single"/>
        </w:rPr>
      </w:pPr>
      <w:r w:rsidRPr="00654E3B">
        <w:rPr>
          <w:rFonts w:cs="Times New Roman"/>
          <w:u w:val="single"/>
        </w:rPr>
        <w:t>Europski socijalni fond (ESF) i Europski socijalni fond plus (ESF+)</w:t>
      </w:r>
    </w:p>
    <w:p w:rsidR="007D4A93" w:rsidRPr="00654E3B" w:rsidRDefault="00EF0BEB">
      <w:pPr>
        <w:rPr>
          <w:rFonts w:cs="Times New Roman"/>
        </w:rPr>
      </w:pPr>
      <w:r w:rsidRPr="00654E3B">
        <w:rPr>
          <w:rFonts w:cs="Times New Roman"/>
        </w:rPr>
        <w:t>Europski socijalni fond (ESF) jedan je od strukturnih fondova Europske unije kojem je temeljni cilj smanjenje razlika u prosperitetu i životnom standardu između država članica EU-a i njihovih regija, te time promicanje gospodarske i socijalne kohezije. ESF-om se doprinosi i drugim tematskim ciljevima, ponajprije pomoću potpore prelaska na okolišno održivo gospodarstvo s niskom razinom CO</w:t>
      </w:r>
      <w:r w:rsidRPr="00654E3B">
        <w:rPr>
          <w:rFonts w:cs="Times New Roman"/>
          <w:vertAlign w:val="subscript"/>
        </w:rPr>
        <w:t>2</w:t>
      </w:r>
      <w:r w:rsidRPr="00654E3B">
        <w:rPr>
          <w:rFonts w:cs="Times New Roman"/>
        </w:rPr>
        <w:t xml:space="preserve">. </w:t>
      </w:r>
    </w:p>
    <w:p w:rsidR="007D4A93" w:rsidRPr="00654E3B" w:rsidRDefault="00EF0BEB">
      <w:pPr>
        <w:rPr>
          <w:rFonts w:cs="Times New Roman"/>
          <w:szCs w:val="24"/>
        </w:rPr>
      </w:pPr>
      <w:r w:rsidRPr="00654E3B">
        <w:rPr>
          <w:rFonts w:cs="Times New Roman"/>
          <w:szCs w:val="24"/>
        </w:rPr>
        <w:t>Tijekom 2018. godine</w:t>
      </w:r>
      <w:r w:rsidR="00BA2FC9" w:rsidRPr="00654E3B">
        <w:rPr>
          <w:rFonts w:cs="Times New Roman"/>
          <w:szCs w:val="24"/>
        </w:rPr>
        <w:t>,</w:t>
      </w:r>
      <w:r w:rsidRPr="00654E3B">
        <w:rPr>
          <w:rFonts w:cs="Times New Roman"/>
          <w:szCs w:val="24"/>
        </w:rPr>
        <w:t xml:space="preserve"> EK je predstavila Europski socijalni fond plus (ESF+) za potporu provedbi načela europskog stupa socijalnih prava. U fondu ESF+ bit će spojeni Europski socijalni fond, Inicijativa za zapošljavanje mladih, Fond za europsku pomoć najugroženijima, Program EU-a za zapošljavanje i socijalne inovacije i Europski zdravstveni program. </w:t>
      </w:r>
    </w:p>
    <w:p w:rsidR="007D4A93" w:rsidRPr="00654E3B" w:rsidRDefault="00EF0BEB">
      <w:pPr>
        <w:rPr>
          <w:rFonts w:cs="Times New Roman"/>
          <w:u w:val="single"/>
        </w:rPr>
      </w:pPr>
      <w:r w:rsidRPr="00654E3B">
        <w:rPr>
          <w:rFonts w:cs="Times New Roman"/>
          <w:u w:val="single"/>
        </w:rPr>
        <w:t>Europski fond za pomorstvo i ribarstvo (EFPR)</w:t>
      </w:r>
    </w:p>
    <w:p w:rsidR="007D4A93" w:rsidRPr="00654E3B" w:rsidRDefault="00EF0BEB">
      <w:pPr>
        <w:rPr>
          <w:rFonts w:cs="Times New Roman"/>
        </w:rPr>
      </w:pPr>
      <w:r w:rsidRPr="00654E3B">
        <w:rPr>
          <w:rFonts w:cs="Times New Roman"/>
        </w:rPr>
        <w:t xml:space="preserve">Europski fond za pomorstvo i ribarstvo (EFPR) osigurava sredstva ribarskoj industriji i priobalnim zajednicama s ciljem njihove prilagodbe promijenjenim uvjetima u sektoru i postizanja gospodarske i ekološke održivosti. Fond je osmišljen tako da osigura održivo ribarstvo i akvakulturu (uzgoj ribe, </w:t>
      </w:r>
      <w:r w:rsidRPr="00654E3B">
        <w:rPr>
          <w:rFonts w:cs="Times New Roman"/>
        </w:rPr>
        <w:lastRenderedPageBreak/>
        <w:t xml:space="preserve">školjkaša i podvodnog bilja). Prioritetno područje se odnosi na poticanje okolišno održivog, resursno učinkovitog, inovativnog, konkurentnog i na znanju utemeljenog ribarstva. </w:t>
      </w:r>
    </w:p>
    <w:p w:rsidR="007D4A93" w:rsidRPr="00654E3B" w:rsidRDefault="00EF0BEB">
      <w:pPr>
        <w:rPr>
          <w:rFonts w:cs="Times New Roman"/>
          <w:u w:val="single"/>
        </w:rPr>
      </w:pPr>
      <w:r w:rsidRPr="00654E3B">
        <w:rPr>
          <w:rFonts w:cs="Times New Roman"/>
          <w:u w:val="single"/>
        </w:rPr>
        <w:t>Europski poljoprivredni fond za ruralni razvoj (EPFRR)</w:t>
      </w:r>
    </w:p>
    <w:p w:rsidR="00CB1D8E" w:rsidRPr="00654E3B" w:rsidRDefault="006774C8">
      <w:pPr>
        <w:rPr>
          <w:rFonts w:cs="Times New Roman"/>
        </w:rPr>
      </w:pPr>
      <w:r w:rsidRPr="00654E3B">
        <w:rPr>
          <w:rFonts w:cs="Times New Roman"/>
        </w:rPr>
        <w:t xml:space="preserve">Sredstva Europskog poljoprivrednog fonda za ruralni razvoj doprinose ostvarenju ciljeva Zajedničke poljoprivredne politike, a naročito u dijelu </w:t>
      </w:r>
      <w:r w:rsidR="00CB1D8E" w:rsidRPr="00654E3B">
        <w:rPr>
          <w:rFonts w:cs="Times New Roman"/>
        </w:rPr>
        <w:t xml:space="preserve">održivog </w:t>
      </w:r>
      <w:r w:rsidRPr="00654E3B">
        <w:rPr>
          <w:rFonts w:cs="Times New Roman"/>
        </w:rPr>
        <w:t>ruralnog razvoja.</w:t>
      </w:r>
    </w:p>
    <w:p w:rsidR="007D4A93" w:rsidRPr="00654E3B" w:rsidRDefault="00EF0BEB">
      <w:pPr>
        <w:rPr>
          <w:rFonts w:cs="Times New Roman"/>
          <w:u w:val="single"/>
        </w:rPr>
      </w:pPr>
      <w:r w:rsidRPr="00654E3B">
        <w:rPr>
          <w:rFonts w:cs="Times New Roman"/>
          <w:u w:val="single"/>
        </w:rPr>
        <w:t>Obzor 2020 i Obzor Europa</w:t>
      </w:r>
    </w:p>
    <w:p w:rsidR="007D4A93" w:rsidRPr="00654E3B" w:rsidRDefault="00EF0BEB">
      <w:pPr>
        <w:rPr>
          <w:rFonts w:cs="Times New Roman"/>
        </w:rPr>
      </w:pPr>
      <w:r w:rsidRPr="00654E3B">
        <w:rPr>
          <w:rFonts w:cs="Times New Roman"/>
        </w:rPr>
        <w:t>Obzor 2020 je najveći EU program za istraživanje i razvoj</w:t>
      </w:r>
      <w:r w:rsidR="006C09E4" w:rsidRPr="00654E3B">
        <w:rPr>
          <w:rFonts w:cs="Times New Roman"/>
        </w:rPr>
        <w:t xml:space="preserve">, koji će se za razdoblje od 2021. do 2027. godine nastaviti   </w:t>
      </w:r>
      <w:r w:rsidRPr="00654E3B">
        <w:rPr>
          <w:rFonts w:cs="Times New Roman"/>
        </w:rPr>
        <w:t xml:space="preserve">pod nazivom Obzor Europa (eng. </w:t>
      </w:r>
      <w:r w:rsidRPr="00654E3B">
        <w:rPr>
          <w:rFonts w:cs="Times New Roman"/>
          <w:i/>
        </w:rPr>
        <w:t>Horizon Europe</w:t>
      </w:r>
      <w:r w:rsidRPr="00654E3B">
        <w:rPr>
          <w:rFonts w:cs="Times New Roman"/>
        </w:rPr>
        <w:t xml:space="preserve">). Novi će se program oslanjati na dostignuća programa Obzor 2020 sa snažnijim naglaskom na postizanje rezultata iz područja medicine, hrane i klimatskih promjena. </w:t>
      </w:r>
    </w:p>
    <w:p w:rsidR="007D4A93" w:rsidRPr="00654E3B" w:rsidRDefault="00EF0BEB" w:rsidP="0005019E">
      <w:pPr>
        <w:keepNext/>
        <w:rPr>
          <w:rFonts w:cs="Times New Roman"/>
          <w:u w:val="single"/>
        </w:rPr>
      </w:pPr>
      <w:r w:rsidRPr="00654E3B">
        <w:rPr>
          <w:rFonts w:cs="Times New Roman"/>
          <w:u w:val="single"/>
        </w:rPr>
        <w:t>LIFE program</w:t>
      </w:r>
    </w:p>
    <w:p w:rsidR="007D4A93" w:rsidRPr="00654E3B" w:rsidRDefault="00EF0BEB" w:rsidP="0005019E">
      <w:pPr>
        <w:keepNext/>
        <w:rPr>
          <w:rFonts w:cs="Times New Roman"/>
        </w:rPr>
      </w:pPr>
      <w:r w:rsidRPr="00654E3B">
        <w:rPr>
          <w:rFonts w:cs="Times New Roman"/>
        </w:rPr>
        <w:t>LIFE program je financijski instrument EU za potporu projektima iz područja zaštite okoliša, očuvanja prirode i klimatsk</w:t>
      </w:r>
      <w:r w:rsidR="000703AF" w:rsidRPr="00654E3B">
        <w:rPr>
          <w:rFonts w:cs="Times New Roman"/>
        </w:rPr>
        <w:t>ih</w:t>
      </w:r>
      <w:r w:rsidRPr="00654E3B">
        <w:rPr>
          <w:rFonts w:cs="Times New Roman"/>
        </w:rPr>
        <w:t xml:space="preserve"> aktivnosti u EU. </w:t>
      </w:r>
      <w:r w:rsidR="006C09E4" w:rsidRPr="00654E3B">
        <w:rPr>
          <w:rFonts w:cs="Times New Roman"/>
        </w:rPr>
        <w:t>Cilj Programa LIFE je doprinijeti implementaciji, ažuriranju i razvoju EU politika i zakonodavstva iz područja okoliša i klime kroz sufinanciranje projekata koji imaju europsku dodanu vrijednost</w:t>
      </w:r>
    </w:p>
    <w:p w:rsidR="007D4A93" w:rsidRPr="00654E3B" w:rsidRDefault="00EF0BEB">
      <w:pPr>
        <w:rPr>
          <w:rFonts w:cs="Times New Roman"/>
          <w:u w:val="single"/>
        </w:rPr>
      </w:pPr>
      <w:r w:rsidRPr="00654E3B">
        <w:rPr>
          <w:rFonts w:cs="Times New Roman"/>
          <w:u w:val="single"/>
        </w:rPr>
        <w:t>Interreg: Europska teritorijalna suradnja (ETC)</w:t>
      </w:r>
    </w:p>
    <w:p w:rsidR="007D4A93" w:rsidRPr="00654E3B" w:rsidRDefault="00EF0BEB">
      <w:pPr>
        <w:rPr>
          <w:rFonts w:cs="Times New Roman"/>
        </w:rPr>
      </w:pPr>
      <w:r w:rsidRPr="00654E3B">
        <w:rPr>
          <w:rFonts w:cs="Times New Roman"/>
        </w:rPr>
        <w:t>Program je pokrenut s ciljem jačanja učinaka Kohezijske politike EU u razdoblju od 2014. do 2020. godine. Cilj je smanjiti postojeće nejednakosti između regija EU</w:t>
      </w:r>
      <w:r w:rsidR="00947B9F" w:rsidRPr="00654E3B">
        <w:rPr>
          <w:rFonts w:cs="Times New Roman"/>
        </w:rPr>
        <w:t>-a</w:t>
      </w:r>
      <w:r w:rsidRPr="00654E3B">
        <w:rPr>
          <w:rFonts w:cs="Times New Roman"/>
        </w:rPr>
        <w:t xml:space="preserve"> u pogledu njihovog ekonomskog i društvenog razvoja i održivosti okoliša, pritom uzimajući u obzir njihove specifične prostorne značajke i mogućnosti. Sredstva su namijenjena za 11 investicijskih prioriteta, među kojima su i niskougljično gospodarstvo, ublažavanje klimatskih promjena, okoliš i učinkovitost resursa te održivi transport.</w:t>
      </w:r>
    </w:p>
    <w:p w:rsidR="00544FAD" w:rsidRPr="00654E3B" w:rsidRDefault="00544FAD" w:rsidP="00CB1D8E">
      <w:pPr>
        <w:rPr>
          <w:rFonts w:cs="Times New Roman"/>
          <w:u w:val="single"/>
        </w:rPr>
      </w:pPr>
      <w:r w:rsidRPr="00654E3B">
        <w:rPr>
          <w:rFonts w:cs="Times New Roman"/>
          <w:u w:val="single"/>
        </w:rPr>
        <w:t>EGP financijski mehanizam, Norveški financijski mehanizam i Švicarsko hrvatski program suradnje</w:t>
      </w:r>
    </w:p>
    <w:p w:rsidR="00544FAD" w:rsidRPr="00654E3B" w:rsidRDefault="00544FAD" w:rsidP="00544FAD">
      <w:pPr>
        <w:rPr>
          <w:rFonts w:cs="Times New Roman"/>
        </w:rPr>
      </w:pPr>
      <w:r w:rsidRPr="00654E3B">
        <w:rPr>
          <w:rFonts w:cs="Times New Roman"/>
        </w:rPr>
        <w:t xml:space="preserve">Programska područja koja se financiraju iz ovih mehanizama financiranja predmet su pregovora između </w:t>
      </w:r>
      <w:r w:rsidR="00CB1D8E" w:rsidRPr="00654E3B">
        <w:rPr>
          <w:rFonts w:cs="Times New Roman"/>
        </w:rPr>
        <w:t>R</w:t>
      </w:r>
      <w:r w:rsidRPr="00654E3B">
        <w:rPr>
          <w:rFonts w:cs="Times New Roman"/>
        </w:rPr>
        <w:t xml:space="preserve">epublike Hrvatske i država donatora. </w:t>
      </w:r>
      <w:r w:rsidR="00947B9F" w:rsidRPr="00654E3B">
        <w:rPr>
          <w:rFonts w:cs="Times New Roman"/>
        </w:rPr>
        <w:t>F</w:t>
      </w:r>
      <w:r w:rsidRPr="00654E3B">
        <w:rPr>
          <w:rFonts w:cs="Times New Roman"/>
        </w:rPr>
        <w:t>inancijska perspektiva za sva ova tri mehanizma obuhvaća programe s razdobljem provedbe do 2024. go</w:t>
      </w:r>
      <w:r w:rsidR="00CB1D8E" w:rsidRPr="00654E3B">
        <w:rPr>
          <w:rFonts w:cs="Times New Roman"/>
        </w:rPr>
        <w:t>d</w:t>
      </w:r>
      <w:r w:rsidRPr="00654E3B">
        <w:rPr>
          <w:rFonts w:cs="Times New Roman"/>
        </w:rPr>
        <w:t xml:space="preserve">ine. </w:t>
      </w:r>
      <w:r w:rsidR="00CB1D8E" w:rsidRPr="00654E3B">
        <w:rPr>
          <w:rFonts w:cs="Times New Roman"/>
        </w:rPr>
        <w:t>U</w:t>
      </w:r>
      <w:r w:rsidRPr="00654E3B">
        <w:rPr>
          <w:rFonts w:cs="Times New Roman"/>
        </w:rPr>
        <w:t xml:space="preserve"> sklopu EGP financijskog mehanizma se provodi program Energija i klimatske promjene, s ciljem uvođenja i primjene tehnologija s manjom emisijom ugljika, poboljšanja energetske učinkovitosti i povećanja sigurnosti opskrbe energije.</w:t>
      </w:r>
    </w:p>
    <w:p w:rsidR="007D4A93" w:rsidRPr="00654E3B" w:rsidRDefault="00EF0BEB">
      <w:pPr>
        <w:rPr>
          <w:rFonts w:cs="Times New Roman"/>
          <w:u w:val="single"/>
        </w:rPr>
      </w:pPr>
      <w:r w:rsidRPr="00654E3B">
        <w:rPr>
          <w:rFonts w:cs="Times New Roman"/>
          <w:u w:val="single"/>
        </w:rPr>
        <w:t xml:space="preserve">Financiranje provedbe mjera na osnovi sustava obveze energetske učinkovitosti sukladno Direktivi 2012/27/EU o energetskoj učinkovitosti </w:t>
      </w:r>
    </w:p>
    <w:p w:rsidR="007D4A93" w:rsidRPr="00654E3B" w:rsidRDefault="00EF0BEB">
      <w:pPr>
        <w:rPr>
          <w:rFonts w:cs="Times New Roman"/>
        </w:rPr>
      </w:pPr>
      <w:r w:rsidRPr="00654E3B">
        <w:rPr>
          <w:rFonts w:cs="Times New Roman"/>
        </w:rPr>
        <w:t xml:space="preserve">Opskrbljivači energije dužni su provoditi mjere energetske učinkovitosti kod krajnjih potrošača. Ciljevi su zadani Sustavom obveze energetske učinkovitosti. Očekuje se da će se troškovi ovih mjera najvećim dijelom prebaciti na potrošače. Ukoliko obveznici ne ostvare propisane uštede, </w:t>
      </w:r>
      <w:r w:rsidR="00BA2FC9" w:rsidRPr="00654E3B">
        <w:rPr>
          <w:rFonts w:cs="Times New Roman"/>
        </w:rPr>
        <w:t>u</w:t>
      </w:r>
      <w:r w:rsidRPr="00654E3B">
        <w:rPr>
          <w:rFonts w:cs="Times New Roman"/>
        </w:rPr>
        <w:t>plać</w:t>
      </w:r>
      <w:r w:rsidR="00BA2FC9" w:rsidRPr="00654E3B">
        <w:rPr>
          <w:rFonts w:cs="Times New Roman"/>
        </w:rPr>
        <w:t>iv</w:t>
      </w:r>
      <w:r w:rsidRPr="00654E3B">
        <w:rPr>
          <w:rFonts w:cs="Times New Roman"/>
        </w:rPr>
        <w:t>ati će naknadu u FZOEU. Ovo će biti značajan izvor financiranja.</w:t>
      </w:r>
    </w:p>
    <w:p w:rsidR="007D4A93" w:rsidRPr="00654E3B" w:rsidRDefault="00EF0BEB">
      <w:pPr>
        <w:rPr>
          <w:rFonts w:cs="Times New Roman"/>
          <w:u w:val="single"/>
        </w:rPr>
      </w:pPr>
      <w:r w:rsidRPr="00654E3B">
        <w:rPr>
          <w:rFonts w:cs="Times New Roman"/>
          <w:u w:val="single"/>
        </w:rPr>
        <w:t>Naknada za emisije CO</w:t>
      </w:r>
      <w:r w:rsidRPr="00654E3B">
        <w:rPr>
          <w:rFonts w:cs="Times New Roman"/>
          <w:u w:val="single"/>
          <w:vertAlign w:val="subscript"/>
        </w:rPr>
        <w:t>2</w:t>
      </w:r>
    </w:p>
    <w:p w:rsidR="007D4A93" w:rsidRPr="00654E3B" w:rsidRDefault="00EF0BEB">
      <w:pPr>
        <w:rPr>
          <w:rFonts w:cs="Times New Roman"/>
        </w:rPr>
      </w:pPr>
      <w:r w:rsidRPr="00654E3B">
        <w:rPr>
          <w:rFonts w:cs="Times New Roman"/>
        </w:rPr>
        <w:t>U Republici Hrvatskoj postoji naknada na emisije CO</w:t>
      </w:r>
      <w:r w:rsidRPr="00654E3B">
        <w:rPr>
          <w:rFonts w:cs="Times New Roman"/>
          <w:vertAlign w:val="subscript"/>
        </w:rPr>
        <w:t>2</w:t>
      </w:r>
      <w:r w:rsidRPr="00654E3B">
        <w:rPr>
          <w:rFonts w:cs="Times New Roman"/>
        </w:rPr>
        <w:t xml:space="preserve">, za dvije skupine izvora. </w:t>
      </w:r>
      <w:r w:rsidR="003A104C" w:rsidRPr="00654E3B">
        <w:rPr>
          <w:rFonts w:cs="Times New Roman"/>
        </w:rPr>
        <w:t>Naknadu plaćaju pojedinačni stacionarni izvori, iz kojih se ispušta CO</w:t>
      </w:r>
      <w:r w:rsidR="003A104C" w:rsidRPr="00654E3B">
        <w:rPr>
          <w:rFonts w:cs="Times New Roman"/>
          <w:vertAlign w:val="subscript"/>
        </w:rPr>
        <w:t>2</w:t>
      </w:r>
      <w:r w:rsidR="003A104C" w:rsidRPr="00654E3B">
        <w:rPr>
          <w:rFonts w:cs="Times New Roman"/>
        </w:rPr>
        <w:t xml:space="preserve"> u zrak u količini većoj od 450 tona godišnje. </w:t>
      </w:r>
      <w:r w:rsidRPr="00654E3B">
        <w:rPr>
          <w:rFonts w:cs="Times New Roman"/>
        </w:rPr>
        <w:t>Naplata postoji</w:t>
      </w:r>
      <w:r w:rsidR="004B5FE7" w:rsidRPr="00654E3B">
        <w:rPr>
          <w:rFonts w:cs="Times New Roman"/>
        </w:rPr>
        <w:t xml:space="preserve"> i</w:t>
      </w:r>
      <w:r w:rsidRPr="00654E3B">
        <w:rPr>
          <w:rFonts w:cs="Times New Roman"/>
        </w:rPr>
        <w:t xml:space="preserve"> za operatere postrojenja uključenih u ETS koji imaju emisije manje od 25 kt godišnje i isključili su se iz ETS-a, ali moraju provoditi mjere za postizanje ekvivalentnog doprinosa smanjenju emisija s verificiranim emisijama.</w:t>
      </w:r>
    </w:p>
    <w:p w:rsidR="007D4A93" w:rsidRPr="00654E3B" w:rsidRDefault="00EF0BEB">
      <w:pPr>
        <w:rPr>
          <w:rFonts w:cs="Times New Roman"/>
          <w:u w:val="single"/>
        </w:rPr>
      </w:pPr>
      <w:r w:rsidRPr="00654E3B">
        <w:rPr>
          <w:rFonts w:cs="Times New Roman"/>
          <w:u w:val="single"/>
        </w:rPr>
        <w:t xml:space="preserve">Naknada za proizvodnju električne energije iz obnovljivih izvora energije </w:t>
      </w:r>
    </w:p>
    <w:p w:rsidR="007D4A93" w:rsidRPr="00654E3B" w:rsidRDefault="00EF0BEB">
      <w:pPr>
        <w:rPr>
          <w:rFonts w:cs="Times New Roman"/>
          <w:color w:val="000000"/>
        </w:rPr>
      </w:pPr>
      <w:r w:rsidRPr="00654E3B">
        <w:rPr>
          <w:rFonts w:cs="Times New Roman"/>
        </w:rPr>
        <w:t>Visina naknade za poticanje proizvodnje električne energije iz obnovljivih izvora iznosi 0,1050 kn/kWh + PDV za sve kupce električne energije. Iznimno, za kupce električne energije koji su sukladno Zakonu o klimatskim promjenama i zaštiti ozonskog sloja, obveznici ishođenja dozvole za emisije stakleničkih plinova, iznosi 0,</w:t>
      </w:r>
      <w:r w:rsidR="000B46E7" w:rsidRPr="00654E3B">
        <w:rPr>
          <w:rFonts w:cs="Times New Roman"/>
        </w:rPr>
        <w:t xml:space="preserve">021 </w:t>
      </w:r>
      <w:r w:rsidRPr="00654E3B">
        <w:rPr>
          <w:rFonts w:cs="Times New Roman"/>
        </w:rPr>
        <w:t xml:space="preserve">kn/kWh. </w:t>
      </w:r>
      <w:r w:rsidRPr="00654E3B">
        <w:rPr>
          <w:rFonts w:cs="Times New Roman"/>
          <w:color w:val="000000"/>
        </w:rPr>
        <w:t>Sredstva naknade za poticanje</w:t>
      </w:r>
      <w:r w:rsidR="00BA2FC9" w:rsidRPr="00654E3B">
        <w:rPr>
          <w:rFonts w:cs="Times New Roman"/>
          <w:color w:val="000000"/>
        </w:rPr>
        <w:t>,</w:t>
      </w:r>
      <w:r w:rsidRPr="00654E3B">
        <w:rPr>
          <w:rFonts w:cs="Times New Roman"/>
          <w:color w:val="000000"/>
        </w:rPr>
        <w:t xml:space="preserve"> koriste se za isplatu poticajne cijene električne energije povlaštenim proizvođačima koji su u sustavu poticanja proizvodnje električne </w:t>
      </w:r>
      <w:r w:rsidRPr="00654E3B">
        <w:rPr>
          <w:rFonts w:cs="Times New Roman"/>
          <w:color w:val="000000"/>
        </w:rPr>
        <w:lastRenderedPageBreak/>
        <w:t>energije</w:t>
      </w:r>
      <w:r w:rsidR="00BA2FC9" w:rsidRPr="00654E3B">
        <w:rPr>
          <w:rFonts w:cs="Times New Roman"/>
          <w:color w:val="000000"/>
        </w:rPr>
        <w:t>,</w:t>
      </w:r>
      <w:r w:rsidRPr="00654E3B">
        <w:rPr>
          <w:rFonts w:cs="Times New Roman"/>
          <w:color w:val="000000"/>
        </w:rPr>
        <w:t xml:space="preserve"> za isporučenu električnu energiju sukladno odredbama tarifnog sustava za proizvodnju električne energije iz obnovljivih izvora energije i visokoučinkovite kogeneracije (tzv. feed-in tarife). </w:t>
      </w:r>
    </w:p>
    <w:p w:rsidR="007D4A93" w:rsidRPr="00654E3B" w:rsidRDefault="00EF0BEB">
      <w:pPr>
        <w:rPr>
          <w:rFonts w:cs="Times New Roman"/>
          <w:u w:val="single"/>
        </w:rPr>
      </w:pPr>
      <w:r w:rsidRPr="00654E3B">
        <w:rPr>
          <w:rFonts w:cs="Times New Roman"/>
          <w:u w:val="single"/>
        </w:rPr>
        <w:t>Kreditne linije poslovnih banaka</w:t>
      </w:r>
    </w:p>
    <w:p w:rsidR="007D4A93" w:rsidRPr="00654E3B" w:rsidRDefault="00EF0BEB">
      <w:pPr>
        <w:rPr>
          <w:rFonts w:cs="Times New Roman"/>
        </w:rPr>
      </w:pPr>
      <w:r w:rsidRPr="00654E3B">
        <w:rPr>
          <w:rFonts w:cs="Times New Roman"/>
        </w:rPr>
        <w:t>Brojne poslovne banke su u svoje ponude uvrstile različite kreditne linije i modele financiranja</w:t>
      </w:r>
      <w:r w:rsidR="00BA2FC9" w:rsidRPr="00654E3B">
        <w:rPr>
          <w:rFonts w:cs="Times New Roman"/>
        </w:rPr>
        <w:t>,</w:t>
      </w:r>
      <w:r w:rsidRPr="00654E3B">
        <w:rPr>
          <w:rFonts w:cs="Times New Roman"/>
        </w:rPr>
        <w:t xml:space="preserve"> kao temelj za strateško opredjeljenje da ponude financijska rješenja za projekte energetske učinkovitosti i obnovljivih izvora energije te da povećaju sudjelovanje na ovom rastućem tržištu energije.</w:t>
      </w:r>
    </w:p>
    <w:p w:rsidR="007D4A93" w:rsidRPr="00654E3B" w:rsidRDefault="00EF0BEB" w:rsidP="0005019E">
      <w:pPr>
        <w:keepNext/>
        <w:rPr>
          <w:rFonts w:cs="Times New Roman"/>
          <w:u w:val="single"/>
        </w:rPr>
      </w:pPr>
      <w:r w:rsidRPr="00654E3B">
        <w:rPr>
          <w:rFonts w:cs="Times New Roman"/>
          <w:u w:val="single"/>
        </w:rPr>
        <w:t>ESCO poduzeća</w:t>
      </w:r>
    </w:p>
    <w:p w:rsidR="007D4A93" w:rsidRPr="00654E3B" w:rsidRDefault="00EF0BEB" w:rsidP="0005019E">
      <w:pPr>
        <w:keepNext/>
        <w:rPr>
          <w:rFonts w:cs="Times New Roman"/>
        </w:rPr>
      </w:pPr>
      <w:r w:rsidRPr="00654E3B">
        <w:rPr>
          <w:rFonts w:cs="Times New Roman"/>
        </w:rPr>
        <w:t xml:space="preserve">ESCO (eng. </w:t>
      </w:r>
      <w:r w:rsidRPr="00654E3B">
        <w:rPr>
          <w:rFonts w:cs="Times New Roman"/>
          <w:i/>
        </w:rPr>
        <w:t>Energy Service Company</w:t>
      </w:r>
      <w:r w:rsidRPr="00654E3B">
        <w:rPr>
          <w:rFonts w:cs="Times New Roman"/>
        </w:rPr>
        <w:t>) je poslovni model u kojem tvrtka ulaže vlastita sredstva, radnu snagu i tehnologiju, a naplaćuje se isključivo iz dijela proračunate uštede</w:t>
      </w:r>
      <w:r w:rsidR="00947B9F" w:rsidRPr="00654E3B">
        <w:rPr>
          <w:rFonts w:cs="Times New Roman"/>
        </w:rPr>
        <w:t xml:space="preserve"> potrošnje energije</w:t>
      </w:r>
      <w:r w:rsidRPr="00654E3B">
        <w:rPr>
          <w:rFonts w:cs="Times New Roman"/>
        </w:rPr>
        <w:t>.</w:t>
      </w:r>
    </w:p>
    <w:p w:rsidR="007D4A93" w:rsidRPr="00654E3B" w:rsidRDefault="00EF0BEB">
      <w:pPr>
        <w:keepNext/>
        <w:rPr>
          <w:rFonts w:cs="Times New Roman"/>
          <w:u w:val="single"/>
        </w:rPr>
      </w:pPr>
      <w:r w:rsidRPr="00654E3B">
        <w:rPr>
          <w:rFonts w:cs="Times New Roman"/>
          <w:u w:val="single"/>
        </w:rPr>
        <w:t>Grupno financiranje</w:t>
      </w:r>
    </w:p>
    <w:p w:rsidR="007D4A93" w:rsidRPr="00654E3B" w:rsidRDefault="00EF0BEB">
      <w:pPr>
        <w:keepNext/>
        <w:rPr>
          <w:rFonts w:cs="Times New Roman"/>
        </w:rPr>
      </w:pPr>
      <w:r w:rsidRPr="00654E3B">
        <w:rPr>
          <w:rFonts w:cs="Times New Roman"/>
        </w:rPr>
        <w:t xml:space="preserve">Grupno financiranje (eng. </w:t>
      </w:r>
      <w:r w:rsidRPr="00654E3B">
        <w:rPr>
          <w:rFonts w:cs="Times New Roman"/>
          <w:i/>
        </w:rPr>
        <w:t>crowdfunding</w:t>
      </w:r>
      <w:r w:rsidRPr="00654E3B">
        <w:rPr>
          <w:rFonts w:cs="Times New Roman"/>
        </w:rPr>
        <w:t>) označava financiranje projekata kroz prikupljanje sredstava od velikog broja ljudi</w:t>
      </w:r>
      <w:r w:rsidR="00BA2FC9" w:rsidRPr="00654E3B">
        <w:rPr>
          <w:rFonts w:cs="Times New Roman"/>
        </w:rPr>
        <w:t>,</w:t>
      </w:r>
      <w:r w:rsidRPr="00654E3B">
        <w:rPr>
          <w:rFonts w:cs="Times New Roman"/>
        </w:rPr>
        <w:t xml:space="preserve"> koji je postao jednostavan razvojem Interneta, a česte su namjene za društveno korisne projekte. Postoje četiri osnove vrste grupnog financiranja s obzirom na povrat uloženoga donatorima, </w:t>
      </w:r>
      <w:r w:rsidR="00BA2FC9" w:rsidRPr="00654E3B">
        <w:rPr>
          <w:rFonts w:cs="Times New Roman"/>
        </w:rPr>
        <w:t xml:space="preserve">a </w:t>
      </w:r>
      <w:r w:rsidRPr="00654E3B">
        <w:rPr>
          <w:rFonts w:cs="Times New Roman"/>
        </w:rPr>
        <w:t>platforme se temelje na donacijama, nagradama, posuđivanju ili vlasničkim udjelima.  Grupno financiranje se u Hrvatskoj već koristi kao način financiranja projekata u energetskom sektoru.</w:t>
      </w:r>
    </w:p>
    <w:p w:rsidR="007D4A93" w:rsidRPr="00654E3B" w:rsidRDefault="00EF0BEB">
      <w:pPr>
        <w:rPr>
          <w:rFonts w:cs="Times New Roman"/>
          <w:u w:val="single"/>
        </w:rPr>
      </w:pPr>
      <w:r w:rsidRPr="00654E3B">
        <w:rPr>
          <w:rFonts w:cs="Times New Roman"/>
          <w:u w:val="single"/>
        </w:rPr>
        <w:t xml:space="preserve">Javno-privatno partnerstvo (JPP) </w:t>
      </w:r>
    </w:p>
    <w:p w:rsidR="00103630" w:rsidRPr="00654E3B" w:rsidRDefault="00103630">
      <w:pPr>
        <w:rPr>
          <w:rFonts w:cs="Times New Roman"/>
          <w:u w:val="single"/>
        </w:rPr>
      </w:pPr>
      <w:r w:rsidRPr="00654E3B">
        <w:rPr>
          <w:rFonts w:cs="Times New Roman"/>
          <w:u w:val="single"/>
        </w:rPr>
        <w:t>Europska partnerstva i misije u okviru Obzora Europa</w:t>
      </w:r>
    </w:p>
    <w:p w:rsidR="00AB40C9" w:rsidRPr="00654E3B" w:rsidRDefault="00103630">
      <w:pPr>
        <w:rPr>
          <w:rFonts w:cs="Times New Roman"/>
        </w:rPr>
      </w:pPr>
      <w:r w:rsidRPr="00654E3B">
        <w:rPr>
          <w:rFonts w:cs="Times New Roman"/>
        </w:rPr>
        <w:t>Europska partnerstva su inicijative u kojima se EU zajedno s privatnim i/ili javnim partnerima obvezuje zajednički podržati razvoj i provedbu istraživačkih i inovacijskih aktivnosti. Za Republiku Hrvatsku postoji mogućnost sudjelovanja u svim javno-javnim ili javno-privatnim partnerstvima</w:t>
      </w:r>
      <w:r w:rsidR="003F2247" w:rsidRPr="00654E3B">
        <w:rPr>
          <w:rFonts w:cs="Times New Roman"/>
        </w:rPr>
        <w:t>,</w:t>
      </w:r>
      <w:r w:rsidRPr="00654E3B">
        <w:rPr>
          <w:rFonts w:cs="Times New Roman"/>
        </w:rPr>
        <w:t xml:space="preserve"> koja se izvode u okviru Okvirnog programa EU</w:t>
      </w:r>
      <w:r w:rsidR="00947B9F" w:rsidRPr="00654E3B">
        <w:rPr>
          <w:rFonts w:cs="Times New Roman"/>
        </w:rPr>
        <w:t>-a</w:t>
      </w:r>
      <w:r w:rsidRPr="00654E3B">
        <w:rPr>
          <w:rFonts w:cs="Times New Roman"/>
        </w:rPr>
        <w:t xml:space="preserve"> za istraživanje i inovacije</w:t>
      </w:r>
      <w:r w:rsidR="00947B9F" w:rsidRPr="00654E3B">
        <w:rPr>
          <w:rFonts w:cs="Times New Roman"/>
        </w:rPr>
        <w:t xml:space="preserve"> </w:t>
      </w:r>
      <w:r w:rsidRPr="00654E3B">
        <w:rPr>
          <w:rFonts w:cs="Times New Roman"/>
        </w:rPr>
        <w:t>- Obzora Europa, s 30-50</w:t>
      </w:r>
      <w:r w:rsidR="00060992" w:rsidRPr="00654E3B">
        <w:rPr>
          <w:rFonts w:cs="Times New Roman"/>
        </w:rPr>
        <w:t xml:space="preserve"> %</w:t>
      </w:r>
      <w:r w:rsidRPr="00654E3B">
        <w:rPr>
          <w:rFonts w:cs="Times New Roman"/>
        </w:rPr>
        <w:t xml:space="preserve"> ukupne alokacije sredstava. Partneri mogu </w:t>
      </w:r>
      <w:r w:rsidR="00947B9F" w:rsidRPr="00654E3B">
        <w:rPr>
          <w:rFonts w:cs="Times New Roman"/>
        </w:rPr>
        <w:t xml:space="preserve">biti </w:t>
      </w:r>
      <w:r w:rsidRPr="00654E3B">
        <w:rPr>
          <w:rFonts w:cs="Times New Roman"/>
        </w:rPr>
        <w:t>predstav</w:t>
      </w:r>
      <w:r w:rsidR="00947B9F" w:rsidRPr="00654E3B">
        <w:rPr>
          <w:rFonts w:cs="Times New Roman"/>
        </w:rPr>
        <w:t>nici</w:t>
      </w:r>
      <w:r w:rsidRPr="00654E3B">
        <w:rPr>
          <w:rFonts w:cs="Times New Roman"/>
        </w:rPr>
        <w:t xml:space="preserve"> industrij</w:t>
      </w:r>
      <w:r w:rsidR="00947B9F" w:rsidRPr="00654E3B">
        <w:rPr>
          <w:rFonts w:cs="Times New Roman"/>
        </w:rPr>
        <w:t>e</w:t>
      </w:r>
      <w:r w:rsidRPr="00654E3B">
        <w:rPr>
          <w:rFonts w:cs="Times New Roman"/>
        </w:rPr>
        <w:t>, sveučilišta, istraživačk</w:t>
      </w:r>
      <w:r w:rsidR="00947B9F" w:rsidRPr="00654E3B">
        <w:rPr>
          <w:rFonts w:cs="Times New Roman"/>
        </w:rPr>
        <w:t>ih</w:t>
      </w:r>
      <w:r w:rsidRPr="00654E3B">
        <w:rPr>
          <w:rFonts w:cs="Times New Roman"/>
        </w:rPr>
        <w:t xml:space="preserve"> organizacij</w:t>
      </w:r>
      <w:r w:rsidR="00947B9F" w:rsidRPr="00654E3B">
        <w:rPr>
          <w:rFonts w:cs="Times New Roman"/>
        </w:rPr>
        <w:t>a</w:t>
      </w:r>
      <w:r w:rsidRPr="00654E3B">
        <w:rPr>
          <w:rFonts w:cs="Times New Roman"/>
        </w:rPr>
        <w:t xml:space="preserve">, tijela na lokalnoj, regionalnoj, nacionalnoj ili međunarodnoj razini ili </w:t>
      </w:r>
      <w:r w:rsidR="00947B9F" w:rsidRPr="00654E3B">
        <w:rPr>
          <w:rFonts w:cs="Times New Roman"/>
        </w:rPr>
        <w:t xml:space="preserve">iz </w:t>
      </w:r>
      <w:r w:rsidRPr="00654E3B">
        <w:rPr>
          <w:rFonts w:cs="Times New Roman"/>
        </w:rPr>
        <w:t>organizacij</w:t>
      </w:r>
      <w:r w:rsidR="00947B9F" w:rsidRPr="00654E3B">
        <w:rPr>
          <w:rFonts w:cs="Times New Roman"/>
        </w:rPr>
        <w:t>a</w:t>
      </w:r>
      <w:r w:rsidRPr="00654E3B">
        <w:rPr>
          <w:rFonts w:cs="Times New Roman"/>
        </w:rPr>
        <w:t xml:space="preserve"> civilnog društva, uključujući zaklade i nevladine organizacije. Za ulazak u partnerstva potrebno je ulaganje određenih nacionalnih sredst</w:t>
      </w:r>
      <w:r w:rsidR="003F2247" w:rsidRPr="00654E3B">
        <w:rPr>
          <w:rFonts w:cs="Times New Roman"/>
        </w:rPr>
        <w:t>a</w:t>
      </w:r>
      <w:r w:rsidRPr="00654E3B">
        <w:rPr>
          <w:rFonts w:cs="Times New Roman"/>
        </w:rPr>
        <w:t xml:space="preserve">va, bilo resornih ministarstva ili drugih tijela državne i javne uprave ili tvrtki koje ulaze kao partner. </w:t>
      </w:r>
      <w:r w:rsidR="00636D99" w:rsidRPr="00654E3B">
        <w:rPr>
          <w:rFonts w:cs="Times New Roman"/>
        </w:rPr>
        <w:t>O</w:t>
      </w:r>
      <w:r w:rsidRPr="00654E3B">
        <w:rPr>
          <w:rFonts w:cs="Times New Roman"/>
        </w:rPr>
        <w:t>stale platforme u području istraživanja i inovacija</w:t>
      </w:r>
      <w:r w:rsidR="003F2247" w:rsidRPr="00654E3B">
        <w:rPr>
          <w:rFonts w:cs="Times New Roman"/>
        </w:rPr>
        <w:t>,</w:t>
      </w:r>
      <w:r w:rsidRPr="00654E3B">
        <w:rPr>
          <w:rFonts w:cs="Times New Roman"/>
        </w:rPr>
        <w:t xml:space="preserve"> putem kojih se može ostvariti potpora i suradnja su npr. Zajednice inovacije i znanja (</w:t>
      </w:r>
      <w:r w:rsidRPr="00654E3B">
        <w:rPr>
          <w:rFonts w:cs="Times New Roman"/>
          <w:i/>
        </w:rPr>
        <w:t>Knowledge and Inovation communities, KIC</w:t>
      </w:r>
      <w:r w:rsidRPr="00654E3B">
        <w:rPr>
          <w:rFonts w:cs="Times New Roman"/>
        </w:rPr>
        <w:t>)</w:t>
      </w:r>
      <w:r w:rsidR="003F2247" w:rsidRPr="00654E3B">
        <w:rPr>
          <w:rFonts w:cs="Times New Roman"/>
        </w:rPr>
        <w:t>,</w:t>
      </w:r>
      <w:r w:rsidRPr="00654E3B">
        <w:rPr>
          <w:rFonts w:cs="Times New Roman"/>
        </w:rPr>
        <w:t xml:space="preserve"> koje se izvode u okviru Europskog instituta za inovacije i tehnologije (EIT), </w:t>
      </w:r>
      <w:r w:rsidR="003F2247" w:rsidRPr="00654E3B">
        <w:rPr>
          <w:rFonts w:cs="Times New Roman"/>
        </w:rPr>
        <w:t xml:space="preserve">su </w:t>
      </w:r>
      <w:r w:rsidRPr="00654E3B">
        <w:rPr>
          <w:rFonts w:cs="Times New Roman"/>
        </w:rPr>
        <w:t>Europska inovacija partnerstva (EIP), te programi suradnje kao što su COST i EUREKA. Priliku za suradnju i umrežavanje</w:t>
      </w:r>
      <w:r w:rsidR="003F2247" w:rsidRPr="00654E3B">
        <w:rPr>
          <w:rFonts w:cs="Times New Roman"/>
        </w:rPr>
        <w:t>,</w:t>
      </w:r>
      <w:r w:rsidRPr="00654E3B">
        <w:rPr>
          <w:rFonts w:cs="Times New Roman"/>
        </w:rPr>
        <w:t xml:space="preserve"> predstavlja i posve novi instrument unutar Obzor Europa, a to su misije, svojevrsni „megaprojekti“ na razini EU koji imaju visoke ambicije i veliku vidljivost s ciljem pronalaženja rješenja za neki od glavnih izazova s kojima se suočavaju građani Europe (područja misija su Prilagodba klimatskim promjenama, uključujući društvene transformacije, Rak (karcinom), Zdravi ocean i voda, Ugljično neutralni i pametni gradovi te Zdravlje t</w:t>
      </w:r>
      <w:r w:rsidR="000F2A95" w:rsidRPr="00654E3B">
        <w:rPr>
          <w:rFonts w:cs="Times New Roman"/>
        </w:rPr>
        <w:t>l</w:t>
      </w:r>
      <w:r w:rsidRPr="00654E3B">
        <w:rPr>
          <w:rFonts w:cs="Times New Roman"/>
        </w:rPr>
        <w:t>a za održivu hranu</w:t>
      </w:r>
      <w:r w:rsidR="003F2247" w:rsidRPr="00654E3B">
        <w:rPr>
          <w:rFonts w:cs="Times New Roman"/>
        </w:rPr>
        <w:t>.</w:t>
      </w:r>
      <w:r w:rsidRPr="00654E3B">
        <w:rPr>
          <w:rFonts w:cs="Times New Roman"/>
        </w:rPr>
        <w:t xml:space="preserve"> </w:t>
      </w:r>
    </w:p>
    <w:p w:rsidR="007D4A93" w:rsidRPr="00654E3B" w:rsidRDefault="00EF0BEB" w:rsidP="009F6651">
      <w:pPr>
        <w:pStyle w:val="Heading3"/>
      </w:pPr>
      <w:bookmarkStart w:id="298" w:name="_Toc69810199"/>
      <w:bookmarkStart w:id="299" w:name="_Hlk38274947"/>
      <w:r w:rsidRPr="00654E3B">
        <w:t xml:space="preserve">7.2.1. </w:t>
      </w:r>
      <w:r w:rsidRPr="00654E3B">
        <w:tab/>
        <w:t>Nove financijske perspektive Europskog zelenog plana</w:t>
      </w:r>
      <w:bookmarkEnd w:id="298"/>
    </w:p>
    <w:p w:rsidR="007D4A93" w:rsidRPr="00654E3B" w:rsidRDefault="007D4A93">
      <w:pPr>
        <w:rPr>
          <w:rFonts w:cs="Times New Roman"/>
        </w:rPr>
      </w:pPr>
    </w:p>
    <w:p w:rsidR="007D4A93" w:rsidRPr="00654E3B" w:rsidRDefault="00EF0BEB">
      <w:pPr>
        <w:pStyle w:val="NormalWeb"/>
        <w:rPr>
          <w:rFonts w:cs="Times New Roman"/>
        </w:rPr>
      </w:pPr>
      <w:r w:rsidRPr="00654E3B">
        <w:rPr>
          <w:rFonts w:cs="Times New Roman"/>
        </w:rPr>
        <w:t xml:space="preserve">Europski zeleni plan </w:t>
      </w:r>
      <w:r w:rsidR="00286AFC" w:rsidRPr="00654E3B">
        <w:rPr>
          <w:rFonts w:cs="Times New Roman"/>
        </w:rPr>
        <w:t xml:space="preserve">(2019.) </w:t>
      </w:r>
      <w:r w:rsidRPr="00654E3B">
        <w:rPr>
          <w:rFonts w:cs="Times New Roman"/>
        </w:rPr>
        <w:t>nova je strategija rasta</w:t>
      </w:r>
      <w:r w:rsidR="003F2247" w:rsidRPr="00654E3B">
        <w:rPr>
          <w:rFonts w:cs="Times New Roman"/>
        </w:rPr>
        <w:t>,</w:t>
      </w:r>
      <w:r w:rsidRPr="00654E3B">
        <w:rPr>
          <w:rFonts w:cs="Times New Roman"/>
        </w:rPr>
        <w:t xml:space="preserve"> kojom se EU nastoji preobraziti u pravedno i prosperitetno društvo s modernim, resursno učinkovitim i konkurentnim gospodarstvom u kojem 2050. neće biti neto emisija stakleničkih plinova i u kojem gospodarski rast nije povezan s upotrebom resursa. Usto, nastoji se zaštititi, očuvati i povećati prirodni kapital EU-a te zaštititi zdravlje i dobrobit građana od rizika povezanih s okolišem i utjecaja okoliša na njih, uz pravednu i uključivu tranziciju.</w:t>
      </w:r>
    </w:p>
    <w:p w:rsidR="007D4A93" w:rsidRPr="00654E3B" w:rsidRDefault="00EF0BEB">
      <w:pPr>
        <w:pStyle w:val="NormalWeb"/>
        <w:rPr>
          <w:rFonts w:eastAsia="Times New Roman" w:cs="Times New Roman"/>
          <w:color w:val="000000"/>
          <w:szCs w:val="24"/>
          <w:lang w:eastAsia="hr-HR"/>
        </w:rPr>
      </w:pPr>
      <w:r w:rsidRPr="00654E3B">
        <w:rPr>
          <w:rFonts w:cs="Times New Roman"/>
        </w:rPr>
        <w:t xml:space="preserve">EK je početkom 2020. godine predstavila Plan ulaganja za održivu Europu kako bi pomogla osigurati potrebna dodatna financijska sredstva. Planom ulaganja za </w:t>
      </w:r>
      <w:r w:rsidR="00286AFC" w:rsidRPr="00654E3B">
        <w:rPr>
          <w:rFonts w:cs="Times New Roman"/>
        </w:rPr>
        <w:t>E</w:t>
      </w:r>
      <w:r w:rsidR="003F2247" w:rsidRPr="00654E3B">
        <w:rPr>
          <w:rFonts w:cs="Times New Roman"/>
        </w:rPr>
        <w:t xml:space="preserve">uropski </w:t>
      </w:r>
      <w:r w:rsidRPr="00654E3B">
        <w:rPr>
          <w:rFonts w:cs="Times New Roman"/>
        </w:rPr>
        <w:t>zeleni plan mobilizirat će se sredstva EU-a i stvoriti okvir za olakšavanje i stimuliranje javnih i privatnih ulaganja</w:t>
      </w:r>
      <w:r w:rsidR="00286AFC" w:rsidRPr="00654E3B">
        <w:rPr>
          <w:rFonts w:cs="Times New Roman"/>
        </w:rPr>
        <w:t>,</w:t>
      </w:r>
      <w:r w:rsidRPr="00654E3B">
        <w:rPr>
          <w:rFonts w:cs="Times New Roman"/>
        </w:rPr>
        <w:t xml:space="preserve"> koja su potrebna za tranziciju prema klimatski neutralnom, zelenom, konkurentnom i uključivom </w:t>
      </w:r>
      <w:r w:rsidRPr="00654E3B">
        <w:rPr>
          <w:rFonts w:cs="Times New Roman"/>
          <w:szCs w:val="24"/>
        </w:rPr>
        <w:t xml:space="preserve">gospodarstvu. </w:t>
      </w:r>
      <w:r w:rsidRPr="00654E3B">
        <w:rPr>
          <w:rFonts w:eastAsia="Times New Roman" w:cs="Times New Roman"/>
          <w:color w:val="000000"/>
          <w:szCs w:val="24"/>
          <w:lang w:eastAsia="hr-HR"/>
        </w:rPr>
        <w:t xml:space="preserve">Plan dopunjuje druge inicijative najavljene u okviru </w:t>
      </w:r>
      <w:r w:rsidR="00286AFC" w:rsidRPr="00654E3B">
        <w:rPr>
          <w:rFonts w:eastAsia="Times New Roman" w:cs="Times New Roman"/>
          <w:color w:val="000000"/>
          <w:szCs w:val="24"/>
          <w:lang w:eastAsia="hr-HR"/>
        </w:rPr>
        <w:t>Z</w:t>
      </w:r>
      <w:r w:rsidRPr="00654E3B">
        <w:rPr>
          <w:rFonts w:eastAsia="Times New Roman" w:cs="Times New Roman"/>
          <w:color w:val="000000"/>
          <w:szCs w:val="24"/>
          <w:lang w:eastAsia="hr-HR"/>
        </w:rPr>
        <w:t>elenog plana, a obuhvaća tri dimenzije:</w:t>
      </w:r>
    </w:p>
    <w:p w:rsidR="007D4A93" w:rsidRPr="00654E3B" w:rsidRDefault="00EF0BEB" w:rsidP="000C6795">
      <w:pPr>
        <w:pStyle w:val="NormalWeb"/>
        <w:numPr>
          <w:ilvl w:val="0"/>
          <w:numId w:val="81"/>
        </w:numPr>
        <w:spacing w:after="0"/>
        <w:ind w:left="714" w:hanging="357"/>
        <w:rPr>
          <w:rFonts w:cs="Times New Roman"/>
        </w:rPr>
      </w:pPr>
      <w:r w:rsidRPr="00654E3B">
        <w:rPr>
          <w:rFonts w:cs="Times New Roman"/>
        </w:rPr>
        <w:lastRenderedPageBreak/>
        <w:t>Financiranje: tijekom sljedećeg desetljeća mobilizirat će se održiva ulaganja u vrijednosti od najmanje bilijun eura. Za djelovanja u području okoliša i klime izdvojit će se dosad najveći iznos iz proračuna EU-a, što bi trebalo privući i privatna ulaganja, a glavnu ulogu imat će Europska investicijska banka.</w:t>
      </w:r>
    </w:p>
    <w:p w:rsidR="007D4A93" w:rsidRPr="00654E3B" w:rsidRDefault="00EF0BEB" w:rsidP="000C6795">
      <w:pPr>
        <w:pStyle w:val="NormalWeb"/>
        <w:numPr>
          <w:ilvl w:val="0"/>
          <w:numId w:val="81"/>
        </w:numPr>
        <w:spacing w:after="0"/>
        <w:ind w:left="714" w:hanging="357"/>
        <w:rPr>
          <w:rFonts w:cs="Times New Roman"/>
        </w:rPr>
      </w:pPr>
      <w:r w:rsidRPr="00654E3B">
        <w:rPr>
          <w:rFonts w:cs="Times New Roman"/>
        </w:rPr>
        <w:t>Pogodni uvjeti: davat će se poticaji za privlačenje i preusmjeravanje ulaganja iz javnog i privatnog sektora. EU će pomoći ulagateljima tako što će davati prednost održivom financiranju, a javnim će tijelima olakšati održiva ulaganja poticanjem izrade zelenog proračuna i zelene javne nabave. Osim toga, pojednostavnit će postupke za odobravanje državne potpore za regije u kojima je potrebno osigurati pravednu tranziciju.</w:t>
      </w:r>
    </w:p>
    <w:p w:rsidR="007D4A93" w:rsidRPr="00654E3B" w:rsidRDefault="00EF0BEB" w:rsidP="000C6795">
      <w:pPr>
        <w:pStyle w:val="NormalWeb"/>
        <w:numPr>
          <w:ilvl w:val="0"/>
          <w:numId w:val="81"/>
        </w:numPr>
        <w:rPr>
          <w:rFonts w:cs="Times New Roman"/>
        </w:rPr>
      </w:pPr>
      <w:r w:rsidRPr="00654E3B">
        <w:rPr>
          <w:rFonts w:cs="Times New Roman"/>
        </w:rPr>
        <w:t>Praktična potpora: Komisija će pomoći javnim tijelima i nositeljima projekata u planiranju, osmišljavanju i realizaciji održivih projekata.</w:t>
      </w:r>
    </w:p>
    <w:p w:rsidR="007D4A93" w:rsidRPr="00654E3B" w:rsidRDefault="00EF0BEB">
      <w:pPr>
        <w:pStyle w:val="NormalWeb"/>
        <w:rPr>
          <w:rFonts w:cs="Times New Roman"/>
        </w:rPr>
      </w:pPr>
      <w:r w:rsidRPr="00654E3B">
        <w:rPr>
          <w:rFonts w:cs="Times New Roman"/>
        </w:rPr>
        <w:t>Mehanizam za pravednu tranziciju najvažniji je alat za pravednu tranziciju prema klimatski neutralnom gospodarstvu</w:t>
      </w:r>
      <w:r w:rsidR="003F2247" w:rsidRPr="00654E3B">
        <w:rPr>
          <w:rFonts w:cs="Times New Roman"/>
        </w:rPr>
        <w:t>,</w:t>
      </w:r>
      <w:r w:rsidRPr="00654E3B">
        <w:rPr>
          <w:rFonts w:cs="Times New Roman"/>
        </w:rPr>
        <w:t xml:space="preserve"> pri kojoj nitko neće biti zapostavljen. Iako će svim regijama trebati financijska pomoć, što je i predviđeno planom ulaganja za europski zeleni plan, u okviru mehanizma u razdoblju 2021. – 2027.</w:t>
      </w:r>
      <w:r w:rsidR="003F2247" w:rsidRPr="00654E3B">
        <w:rPr>
          <w:rFonts w:cs="Times New Roman"/>
        </w:rPr>
        <w:t>,</w:t>
      </w:r>
      <w:r w:rsidRPr="00654E3B">
        <w:rPr>
          <w:rFonts w:cs="Times New Roman"/>
        </w:rPr>
        <w:t xml:space="preserve"> mobilizirat će se najmanje 100 milijardi eura u obliku ciljane potpore za ublažavanje socioekonomskih posljedica tranzicije u najpogođenijim regijama. Mehanizmom će se potaknuti potrebna ulaganja kako bi se pomoglo zajednicama koje ovise o industriji fosilnih goriva.</w:t>
      </w:r>
    </w:p>
    <w:p w:rsidR="007D4A93" w:rsidRPr="00654E3B" w:rsidRDefault="00EF0BEB">
      <w:pPr>
        <w:pStyle w:val="NormalWeb"/>
        <w:rPr>
          <w:rFonts w:cs="Times New Roman"/>
        </w:rPr>
      </w:pPr>
      <w:r w:rsidRPr="00654E3B">
        <w:rPr>
          <w:rFonts w:cs="Times New Roman"/>
        </w:rPr>
        <w:t>Mehanizam za pravednu tranziciju obuhvaćat će tri glavna izvora financiranja:</w:t>
      </w:r>
    </w:p>
    <w:p w:rsidR="007D4A93" w:rsidRPr="00654E3B" w:rsidRDefault="00EF0BEB">
      <w:pPr>
        <w:pStyle w:val="NormalWeb"/>
        <w:rPr>
          <w:rFonts w:cs="Times New Roman"/>
        </w:rPr>
      </w:pPr>
      <w:r w:rsidRPr="00654E3B">
        <w:rPr>
          <w:rFonts w:cs="Times New Roman"/>
          <w:b/>
          <w:bCs/>
        </w:rPr>
        <w:t>1. Fond za pravednu tranziciju</w:t>
      </w:r>
      <w:r w:rsidRPr="00654E3B">
        <w:rPr>
          <w:rFonts w:cs="Times New Roman"/>
        </w:rPr>
        <w:t>, za koji će se izdvojiti nova sredstva EU-a u iznosu od 7,5 milijardi eura i koji je jedan od prioriteta iz prijedloga EK za sljedeći dugoročni proračun EU-a. Kako bi mogle povući svoj dio sredstava iz Fonda za pravednu tranziciju, države članice moraju u dijalogu s EK izraditi teritorijalne planove za pravednu tranziciju te u njima utvrditi teritorije kojima je potrebna pomoć. Bespovratna sredstva iz Fonda za pravednu tranziciju prvenstveno su namijenjena regijama. Konkretno, davat će se potpora za razvoj vještina i kompetencija za tržište rada budućnosti te će se pomoći u stvaranju novih gospodarskih prilika u tim regijama. Podupirat će se i ulaganja u prelazak na čistu energiju, primjerice ulaganja u energetsku učinkovitost.</w:t>
      </w:r>
    </w:p>
    <w:p w:rsidR="007D4A93" w:rsidRPr="00654E3B" w:rsidRDefault="00EF0BEB">
      <w:pPr>
        <w:pStyle w:val="NormalWeb"/>
        <w:rPr>
          <w:rFonts w:cs="Times New Roman"/>
        </w:rPr>
      </w:pPr>
      <w:r w:rsidRPr="00654E3B">
        <w:rPr>
          <w:rFonts w:cs="Times New Roman"/>
          <w:b/>
          <w:bCs/>
        </w:rPr>
        <w:t>2. Poseban program za pravednu tranziciju u okviru programa InvestEU</w:t>
      </w:r>
      <w:r w:rsidRPr="00654E3B">
        <w:rPr>
          <w:rFonts w:cs="Times New Roman"/>
        </w:rPr>
        <w:t>, kojim će se mobilizirati ulaganja u vrijednosti do 45 milijardi eura. Cilj je privući ulaganja iz privatnog sektora, uključujući ulaganja u održivu energiju i promet, kako bi se gospodarstvima u tim regijama osigurali novi izvori rasta.</w:t>
      </w:r>
    </w:p>
    <w:p w:rsidR="007D4A93" w:rsidRPr="00654E3B" w:rsidRDefault="00EF0BEB">
      <w:pPr>
        <w:pStyle w:val="NormalWeb"/>
        <w:rPr>
          <w:rFonts w:eastAsia="Times New Roman" w:cs="Times New Roman"/>
          <w:color w:val="000000"/>
          <w:szCs w:val="24"/>
          <w:lang w:eastAsia="hr-HR"/>
        </w:rPr>
      </w:pPr>
      <w:r w:rsidRPr="00654E3B">
        <w:rPr>
          <w:rFonts w:cs="Times New Roman"/>
          <w:b/>
          <w:bCs/>
        </w:rPr>
        <w:t>3. Instrument za kreditiranje u javnom sektoru uz uključivanje Europske investicijske banke koji se podupire iz proračuna EU-a</w:t>
      </w:r>
      <w:r w:rsidRPr="00654E3B">
        <w:rPr>
          <w:rFonts w:cs="Times New Roman"/>
        </w:rPr>
        <w:t xml:space="preserve"> omogućit će mobilizaciju ulaganja u iznosu 25–30 milijardi eura. Tim će se instrumentom osigurati zajmovi za javni sektor, primjerice za ulaganja u mreže centraliziranoga grijanja i obnovu zgrada. </w:t>
      </w:r>
    </w:p>
    <w:p w:rsidR="007D4A93" w:rsidRPr="00654E3B" w:rsidRDefault="00EF0BEB">
      <w:pPr>
        <w:pStyle w:val="NormalWeb"/>
        <w:rPr>
          <w:rFonts w:cs="Times New Roman"/>
        </w:rPr>
      </w:pPr>
      <w:r w:rsidRPr="00654E3B">
        <w:rPr>
          <w:rFonts w:cs="Times New Roman"/>
        </w:rPr>
        <w:t xml:space="preserve">Mehanizam za pravednu tranziciju ne nudi samo financijska sredstva: preko platforme za pravednu tranziciju EK će davati tehničku podršku državama članicama i </w:t>
      </w:r>
      <w:r w:rsidR="00022DD6" w:rsidRPr="00654E3B">
        <w:rPr>
          <w:rFonts w:cs="Times New Roman"/>
        </w:rPr>
        <w:t xml:space="preserve">ulagačima </w:t>
      </w:r>
      <w:r w:rsidRPr="00654E3B">
        <w:rPr>
          <w:rFonts w:cs="Times New Roman"/>
        </w:rPr>
        <w:t>te uključiti relevantne zajednice, lokalna tijela, socijalne partnere i nevladine organizacije. Mehanizam za pravednu tranziciju uključivat će snažan okvir za upravljanje</w:t>
      </w:r>
      <w:r w:rsidR="00022DD6" w:rsidRPr="00654E3B">
        <w:rPr>
          <w:rFonts w:cs="Times New Roman"/>
        </w:rPr>
        <w:t>,</w:t>
      </w:r>
      <w:r w:rsidRPr="00654E3B">
        <w:rPr>
          <w:rFonts w:cs="Times New Roman"/>
        </w:rPr>
        <w:t xml:space="preserve"> koji će se temeljiti na teritorijalnim planovima za pravednu tranziciju.</w:t>
      </w:r>
    </w:p>
    <w:p w:rsidR="007D4A93" w:rsidRPr="00654E3B" w:rsidRDefault="00EF0BEB">
      <w:pPr>
        <w:pStyle w:val="NormalWeb"/>
        <w:rPr>
          <w:rFonts w:cs="Times New Roman"/>
        </w:rPr>
      </w:pPr>
      <w:r w:rsidRPr="00654E3B">
        <w:rPr>
          <w:rFonts w:cs="Times New Roman"/>
        </w:rPr>
        <w:t xml:space="preserve">Republika Hrvatska treba </w:t>
      </w:r>
      <w:r w:rsidR="00615527" w:rsidRPr="00654E3B">
        <w:rPr>
          <w:rFonts w:cs="Times New Roman"/>
        </w:rPr>
        <w:t>jačati</w:t>
      </w:r>
      <w:r w:rsidRPr="00654E3B">
        <w:rPr>
          <w:rFonts w:cs="Times New Roman"/>
        </w:rPr>
        <w:t xml:space="preserve"> kapacitete za implementaciju novih instrumenata financiranja, to uključuje i pravodobno i kvalitetno planiranje i programiranje fondova i programa financiranja, na svim razinama kako bi se raspoloživa sredstva koristila učinkovito i namjenski za realizaciju postavljenih ciljeva. </w:t>
      </w:r>
      <w:r w:rsidR="00E22C18" w:rsidRPr="00654E3B">
        <w:rPr>
          <w:rFonts w:cs="Times New Roman"/>
        </w:rPr>
        <w:t xml:space="preserve">Pored toga </w:t>
      </w:r>
      <w:r w:rsidRPr="00654E3B">
        <w:rPr>
          <w:rFonts w:cs="Times New Roman"/>
        </w:rPr>
        <w:t xml:space="preserve">potrebno </w:t>
      </w:r>
      <w:r w:rsidR="00E22C18" w:rsidRPr="00654E3B">
        <w:rPr>
          <w:rFonts w:cs="Times New Roman"/>
        </w:rPr>
        <w:t xml:space="preserve">je </w:t>
      </w:r>
      <w:r w:rsidRPr="00654E3B">
        <w:rPr>
          <w:rFonts w:cs="Times New Roman"/>
        </w:rPr>
        <w:t xml:space="preserve">osigurati </w:t>
      </w:r>
      <w:r w:rsidR="00E22C18" w:rsidRPr="00654E3B">
        <w:rPr>
          <w:rFonts w:cs="Times New Roman"/>
        </w:rPr>
        <w:t xml:space="preserve">i </w:t>
      </w:r>
      <w:r w:rsidRPr="00654E3B">
        <w:rPr>
          <w:rFonts w:cs="Times New Roman"/>
        </w:rPr>
        <w:t>financiranj</w:t>
      </w:r>
      <w:r w:rsidR="00E22C18" w:rsidRPr="00654E3B">
        <w:rPr>
          <w:rFonts w:cs="Times New Roman"/>
        </w:rPr>
        <w:t>e</w:t>
      </w:r>
      <w:r w:rsidRPr="00654E3B">
        <w:rPr>
          <w:rFonts w:cs="Times New Roman"/>
        </w:rPr>
        <w:t xml:space="preserve"> pripremnih faza projekata temeljem iskustva dobre prakse u svijetu.</w:t>
      </w:r>
    </w:p>
    <w:p w:rsidR="00AB40C9" w:rsidRPr="00654E3B" w:rsidRDefault="00EF0BEB">
      <w:pPr>
        <w:pStyle w:val="NormalWeb"/>
        <w:rPr>
          <w:rFonts w:cs="Times New Roman"/>
        </w:rPr>
      </w:pPr>
      <w:r w:rsidRPr="00654E3B">
        <w:rPr>
          <w:rFonts w:cs="Times New Roman"/>
        </w:rPr>
        <w:t>Ključno će za financiranje u razdoblju do 2030. godine biti u kojoj mjeri će klimatske aktivnosti biti zastupljene u Partnerskom sporazumu Republike Hrvatske i operativnim programima za korištenje EU fondova, za financijsko razdoblje 2021.-2027. godine.</w:t>
      </w:r>
    </w:p>
    <w:p w:rsidR="007D4A93" w:rsidRPr="00654E3B" w:rsidRDefault="00EF0BEB" w:rsidP="009F6651">
      <w:pPr>
        <w:pStyle w:val="Heading3"/>
      </w:pPr>
      <w:bookmarkStart w:id="300" w:name="_Toc69810200"/>
      <w:r w:rsidRPr="00654E3B">
        <w:lastRenderedPageBreak/>
        <w:t xml:space="preserve">7.2.2. </w:t>
      </w:r>
      <w:r w:rsidRPr="00654E3B">
        <w:tab/>
        <w:t>Sredstva vezano za solidarnu pomoć državama vezano za posljedice COVID-19 pandemije</w:t>
      </w:r>
      <w:bookmarkEnd w:id="300"/>
      <w:r w:rsidRPr="00654E3B">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Europa i čitavi svijet sučeljava se sa zdravstvenom krizom koja prerasta u ekonomsku krizu kakve do sada nije bilo. Europska unija odgovara na krizu sa fondom solidarne pomoći za oporavak gospodarstva i očuvanje radnih mjesta. Republika Hrvatska je raspoznata kao osobito ranjiva. Planirana pomoć Europske unije kroz fond solidarnosti za oporavak doseže iznos koji je veličine oko dvadeset posto hrvatskog godišnjeg BDP-a. Podupirati će se ulaganja u zeleno gospodarstvo i digitalizaciju, što će biti dodatni poticaj za tranziciju prema niskougljičnom gospodarstvu. S gledišta emisija stakleničkih plinova, prepoznate su potrebne prioritetne intervencije u prometu, energetski intenzivnoj industriji, zgradarstvu i obnovljivim izvorima energije.</w:t>
      </w:r>
    </w:p>
    <w:p w:rsidR="007D4A93" w:rsidRPr="00D27803" w:rsidRDefault="00EF0BEB" w:rsidP="00286AFC">
      <w:pPr>
        <w:pStyle w:val="Heading1"/>
        <w:ind w:left="705" w:hanging="705"/>
        <w:rPr>
          <w:rFonts w:ascii="Times New Roman" w:hAnsi="Times New Roman" w:cs="Times New Roman"/>
        </w:rPr>
      </w:pPr>
      <w:bookmarkStart w:id="301" w:name="_Toc20841314"/>
      <w:bookmarkStart w:id="302" w:name="_Toc20841420"/>
      <w:bookmarkStart w:id="303" w:name="_Toc69810201"/>
      <w:bookmarkEnd w:id="288"/>
      <w:bookmarkEnd w:id="299"/>
      <w:r w:rsidRPr="00654E3B">
        <w:rPr>
          <w:rFonts w:ascii="Times New Roman" w:hAnsi="Times New Roman" w:cs="Times New Roman"/>
        </w:rPr>
        <w:t xml:space="preserve">8. </w:t>
      </w:r>
      <w:r w:rsidRPr="00654E3B">
        <w:rPr>
          <w:rFonts w:ascii="Times New Roman" w:hAnsi="Times New Roman" w:cs="Times New Roman"/>
        </w:rPr>
        <w:tab/>
        <w:t>UTJECAJ SCENARIJA NA OKOLIŠ, GOSPODARSTVO I DRUŠTVO</w:t>
      </w:r>
      <w:bookmarkEnd w:id="301"/>
      <w:bookmarkEnd w:id="302"/>
      <w:bookmarkEnd w:id="303"/>
    </w:p>
    <w:p w:rsidR="007D4A93" w:rsidRPr="00654E3B" w:rsidRDefault="00EF0BEB">
      <w:pPr>
        <w:pStyle w:val="Heading2"/>
        <w:rPr>
          <w:rFonts w:ascii="Times New Roman" w:hAnsi="Times New Roman" w:cs="Times New Roman"/>
        </w:rPr>
      </w:pPr>
      <w:bookmarkStart w:id="304" w:name="_Toc20841315"/>
      <w:bookmarkStart w:id="305" w:name="_Toc20841421"/>
      <w:bookmarkStart w:id="306" w:name="_Toc69810202"/>
      <w:r w:rsidRPr="00F01191">
        <w:rPr>
          <w:rFonts w:ascii="Times New Roman" w:hAnsi="Times New Roman" w:cs="Times New Roman"/>
        </w:rPr>
        <w:t xml:space="preserve">8.1. </w:t>
      </w:r>
      <w:r w:rsidRPr="00F01191">
        <w:rPr>
          <w:rFonts w:ascii="Times New Roman" w:hAnsi="Times New Roman" w:cs="Times New Roman"/>
        </w:rPr>
        <w:tab/>
        <w:t>UTJECAJ NA OKOLIŠ I PRIRODU</w:t>
      </w:r>
      <w:bookmarkEnd w:id="304"/>
      <w:bookmarkEnd w:id="305"/>
      <w:bookmarkEnd w:id="306"/>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Iako provedba Niskougljične strategije ima pozitivan učinak na smanjenje emisija stakleničkih plinova, neki aspekti niskougljičnog razvoja predstavljaju potencijalnu prijetnju za pojedine sastavnice okoliša i prirodu. Primjeri su: korištenje obnovljivih izvora energije za proizvodnju električne energije i/ili topline i izgradnja kogeneracijskih postrojenja, trajno skladištenje ugljikovog dioksida te aktivnosti koje mogu dovesti do neposredne ili posredne promjene u korištenju i/ili iskorištavanju poljoprivrednog i šumskog zemljišta i prostora u cjelini (smanjenje udjela klinkera u proizvodnji cementa, korištenje alternativnih goriva - biogoriva u prijevozu, uvođenje novih poljoprivrednih </w:t>
      </w:r>
      <w:r w:rsidR="00FD4068" w:rsidRPr="00654E3B">
        <w:rPr>
          <w:rFonts w:cs="Times New Roman"/>
        </w:rPr>
        <w:t>vrsta</w:t>
      </w:r>
      <w:r w:rsidRPr="00654E3B">
        <w:rPr>
          <w:rFonts w:cs="Times New Roman"/>
        </w:rPr>
        <w:t xml:space="preserve">, uključivo i sadnju energetskih usjeva, realizacija hidromelioracijskih zahvata i sustava zaštite od nepogoda te dr.). </w:t>
      </w:r>
    </w:p>
    <w:p w:rsidR="007D4A93" w:rsidRPr="00654E3B" w:rsidRDefault="00EF0BEB">
      <w:pPr>
        <w:rPr>
          <w:rFonts w:cs="Times New Roman"/>
        </w:rPr>
      </w:pPr>
      <w:r w:rsidRPr="00654E3B">
        <w:rPr>
          <w:rFonts w:cs="Times New Roman"/>
        </w:rPr>
        <w:t xml:space="preserve">Sukladno propisima koji uređuju zaštitu okoliša, za Niskougljičnu strategiju provodi se postupak strateške procjene utjecaja na okoliš, u kojem se, između ostaloga, procjenjuju vjerojatno značajni utjecaji na okoliš koji mogu nastati provedbom Niskougljične strategije. Sukladno provedenom postupku prethodne ocjene prihvatljivosti za ekološku mrežu, u okviru strateške procjene provodi se i glavna ocjena prihvatljivosti Niskougljične strategije za ekološku mrežu. Strateška procjena provodi se tijekom izrade nacrta prijedloga Niskougljične strategije, prije utvrđivanja njenog konačnog prijedloga i upućivanja u postupak donošenja, kako bi se osiguralo da se bitni elementi zaštite </w:t>
      </w:r>
      <w:r w:rsidR="00022DD6" w:rsidRPr="00654E3B">
        <w:rPr>
          <w:rFonts w:cs="Times New Roman"/>
        </w:rPr>
        <w:t xml:space="preserve">okoliša </w:t>
      </w:r>
      <w:r w:rsidRPr="00654E3B">
        <w:rPr>
          <w:rFonts w:cs="Times New Roman"/>
        </w:rPr>
        <w:t xml:space="preserve">i prirode uključe u Niskougljičnu strategiju. Mjere zaštite okoliša i mjere ublažavanja utjecaja na ekološku mrežu iz postupka strateške procjene uključene su u Niskougljičnu strategiju i navedene su </w:t>
      </w:r>
      <w:r w:rsidR="00022DD6" w:rsidRPr="00654E3B">
        <w:rPr>
          <w:rFonts w:cs="Times New Roman"/>
        </w:rPr>
        <w:t xml:space="preserve">u </w:t>
      </w:r>
      <w:r w:rsidRPr="00654E3B">
        <w:rPr>
          <w:rFonts w:cs="Times New Roman"/>
        </w:rPr>
        <w:t>Poglavlju 14.4.</w:t>
      </w:r>
    </w:p>
    <w:p w:rsidR="00225860" w:rsidRPr="00654E3B" w:rsidRDefault="00EF0BEB">
      <w:pPr>
        <w:rPr>
          <w:rFonts w:cs="Times New Roman"/>
        </w:rPr>
      </w:pPr>
      <w:r w:rsidRPr="00654E3B">
        <w:rPr>
          <w:rFonts w:cs="Times New Roman"/>
        </w:rPr>
        <w:t>Vezano uz konkretne projekte – zahvate, planove i programe koji će proizaći provedbom Niskougljične strategije, propisima s područja zaštite okoliša i prirode određeno je u kojim slučajevima se provode postupci u kojima se razmatraju pitanja zaštite okoliša i prirode, na osnovu detaljnijih podataka o zahvatima, planovima i programima i značajkama lokacija na kojima se oni planiraju. Osim tih postupaka, zaštita okoliša i prirode provodi se i kroz uvjete niza drugih propisa kao što su primjerice propisi koji uređuju prostorno planiranje, gradnju, zaštitu poljoprivrednog zemljišta, zaštitu kulturnih dobara i dr. Dakle, utjecaji na okoliš i prirodu koji proizlaze iz provedbe Niskougljične strategije neće se samo jednokratno razmatrati u strateškoj procjeni utjecaja na okoliš, već će se isto razmatrati i provoditi i dalje, kroz niz postupaka i obveza koji proizlaze iz propisa koji uređuju zaštitu okoliša i prirode te druga područja.</w:t>
      </w:r>
    </w:p>
    <w:p w:rsidR="007D4A93" w:rsidRPr="00654E3B" w:rsidRDefault="00EF0BEB">
      <w:pPr>
        <w:pStyle w:val="Heading2"/>
        <w:rPr>
          <w:rFonts w:ascii="Times New Roman" w:hAnsi="Times New Roman" w:cs="Times New Roman"/>
        </w:rPr>
      </w:pPr>
      <w:bookmarkStart w:id="307" w:name="_Toc20841316"/>
      <w:bookmarkStart w:id="308" w:name="_Toc20841422"/>
      <w:bookmarkStart w:id="309" w:name="_Toc69810203"/>
      <w:r w:rsidRPr="00654E3B">
        <w:rPr>
          <w:rFonts w:ascii="Times New Roman" w:hAnsi="Times New Roman" w:cs="Times New Roman"/>
        </w:rPr>
        <w:t>8.2.</w:t>
      </w:r>
      <w:r w:rsidRPr="00654E3B">
        <w:rPr>
          <w:rFonts w:ascii="Times New Roman" w:hAnsi="Times New Roman" w:cs="Times New Roman"/>
        </w:rPr>
        <w:tab/>
        <w:t>UTJECAJ NA GOSPODARSTVO</w:t>
      </w:r>
      <w:bookmarkEnd w:id="307"/>
      <w:bookmarkEnd w:id="308"/>
      <w:bookmarkEnd w:id="309"/>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Utjecaj na gospodarstvo očituje se kroz složene strukturne promjene. S pozitivne strane, rastu ekonomska aktivnost, zaposlenost i inovacije u sektorima koji proizvode čistu energiju, ulažu u energetsku učinkovitost, kao i u dijelovima gospodarstva koji će aktivno sudjelovati u održivom gospodarenju otpadom i kružnom gospodarstvu. S time su povezane i značajne dugoročne investicije koje imaju i multiplikativne učinke. S negativne strane, dolazi do određenog rasta troškova energije i s </w:t>
      </w:r>
      <w:r w:rsidRPr="00654E3B">
        <w:rPr>
          <w:rFonts w:cs="Times New Roman"/>
        </w:rPr>
        <w:lastRenderedPageBreak/>
        <w:t xml:space="preserve">time povezanog pada gospodarske aktivnosti te postupno dolazi do manje zaposlenosti u sektorima i aktivnostima koji koriste tradicionalne tehnologije zasnovane na fosilnim gorivima. </w:t>
      </w:r>
    </w:p>
    <w:p w:rsidR="007D4A93" w:rsidRPr="00654E3B" w:rsidRDefault="00EF0BEB">
      <w:pPr>
        <w:rPr>
          <w:rFonts w:cs="Times New Roman"/>
        </w:rPr>
      </w:pPr>
      <w:r w:rsidRPr="00654E3B">
        <w:rPr>
          <w:rFonts w:cs="Times New Roman"/>
        </w:rPr>
        <w:t>Važno je uzeti u obzir da Republika Hrvatska ostvaruje značajna financijska sredstva od europskih strukturnih i investicijskih fondova te mehanizama u okviru ETS-a. Općenito, prihodi koje može ostvariti Republika Hrvatska iz EU fondova nadmašuju davanja za proračun EU. Svi ovi prihodi pomažu gospodarskom rastu bez potrebe za rastom zaduženosti, a sredstva se ulažu u održive projekte koji vraćaju uložene investicije. Dodatna sredstva koja će biti raspoloživa u oporavak gospodarstva i održavanje radnih mjesta zbog COVID-a, biti će raspoređena ovisno o ranjivosti sektora. Promicati će se zeleni poslovi i digitalizacija.</w:t>
      </w:r>
    </w:p>
    <w:p w:rsidR="007D4A93" w:rsidRPr="00654E3B" w:rsidRDefault="00EF0BEB">
      <w:pPr>
        <w:rPr>
          <w:rFonts w:cs="Times New Roman"/>
          <w:u w:val="single"/>
        </w:rPr>
      </w:pPr>
      <w:r w:rsidRPr="00654E3B">
        <w:rPr>
          <w:rFonts w:cs="Times New Roman"/>
          <w:u w:val="single"/>
        </w:rPr>
        <w:t>Energetskom tranzicijom težište troškova prelazi s troškova za gorivo na investicije</w:t>
      </w:r>
    </w:p>
    <w:p w:rsidR="007D4A93" w:rsidRPr="00654E3B" w:rsidRDefault="00EF0BEB">
      <w:pPr>
        <w:rPr>
          <w:rFonts w:cs="Times New Roman"/>
        </w:rPr>
      </w:pPr>
      <w:r w:rsidRPr="00654E3B">
        <w:rPr>
          <w:rFonts w:cs="Times New Roman"/>
        </w:rPr>
        <w:t>Niskougljičnim razvojem u energetskom sustavu težište troškova se premješta s troškova za nabavu goriva na investicijske troškove. Bit će potrebne kontinuirane investicije kako bi se u dužem roku ostvario troškovno učinkovit niskougljični razvoj. Investicije se prvenstveno moraju pokrenuti u sektorima neposredne potrošnje energije – kućanstvima, uslugama, prometu i industriji. S obzirom na razvoj konkurentnosti obnovljivih izvora energije te utjecaj mjera u neposrednoj potrošnji na manju potražnju za energijom, troškovi u sektoru energetskih transformacija mogu biti i manji nego u NUR scenariju</w:t>
      </w:r>
      <w:r w:rsidR="00BE5597" w:rsidRPr="00654E3B">
        <w:rPr>
          <w:rFonts w:cs="Times New Roman"/>
        </w:rPr>
        <w:t>,</w:t>
      </w:r>
      <w:r w:rsidRPr="00654E3B">
        <w:rPr>
          <w:rFonts w:cs="Times New Roman"/>
        </w:rPr>
        <w:t xml:space="preserve"> jer dolazi do ušteda u sektoru nafte i plina (značajnije nakon 2030.) te manje potrošnje električne energije. Troškovi mogu biti i značajno veći u slučaju snažne elektrifikacije u sektoru prometa i veće potrošnje električne energije.</w:t>
      </w:r>
    </w:p>
    <w:p w:rsidR="007D4A93" w:rsidRPr="00654E3B" w:rsidRDefault="00EF0BEB">
      <w:pPr>
        <w:rPr>
          <w:rFonts w:cs="Times New Roman"/>
          <w:u w:val="single"/>
        </w:rPr>
      </w:pPr>
      <w:r w:rsidRPr="00654E3B">
        <w:rPr>
          <w:rFonts w:cs="Times New Roman"/>
          <w:u w:val="single"/>
        </w:rPr>
        <w:t>Rast jediničnih troškova energije te smanjenje potrošnje energije</w:t>
      </w:r>
    </w:p>
    <w:p w:rsidR="007D4A93" w:rsidRPr="00654E3B" w:rsidRDefault="00EF0BEB">
      <w:pPr>
        <w:rPr>
          <w:rFonts w:cs="Times New Roman"/>
        </w:rPr>
      </w:pPr>
      <w:r w:rsidRPr="00654E3B">
        <w:rPr>
          <w:rFonts w:cs="Times New Roman"/>
        </w:rPr>
        <w:t xml:space="preserve">Rast cijena energije </w:t>
      </w:r>
      <w:r w:rsidR="007857C2" w:rsidRPr="00654E3B">
        <w:rPr>
          <w:rFonts w:cs="Times New Roman"/>
        </w:rPr>
        <w:t xml:space="preserve">iz </w:t>
      </w:r>
      <w:r w:rsidRPr="00654E3B">
        <w:rPr>
          <w:rFonts w:cs="Times New Roman"/>
        </w:rPr>
        <w:t>fosilnih goriva</w:t>
      </w:r>
      <w:r w:rsidR="00BE5597" w:rsidRPr="00654E3B">
        <w:rPr>
          <w:rFonts w:cs="Times New Roman"/>
        </w:rPr>
        <w:t>,</w:t>
      </w:r>
      <w:r w:rsidRPr="00654E3B">
        <w:rPr>
          <w:rFonts w:cs="Times New Roman"/>
        </w:rPr>
        <w:t xml:space="preserve"> u pravilu negativno utječe na gospodarstvo ovisno o uvozu, no potiče primjenu mjera energetske učinkovitosti i korištenja OIE te se energetskom tranzicijom smanjuje osjetljivost gospodarstva na uvozne cijene fosilnog goriva.</w:t>
      </w:r>
    </w:p>
    <w:p w:rsidR="007D4A93" w:rsidRPr="00654E3B" w:rsidRDefault="00EF0BEB">
      <w:pPr>
        <w:rPr>
          <w:rFonts w:cs="Times New Roman"/>
        </w:rPr>
      </w:pPr>
      <w:r w:rsidRPr="00654E3B">
        <w:rPr>
          <w:rFonts w:cs="Times New Roman"/>
        </w:rPr>
        <w:t xml:space="preserve">Rast cijena energije za krajnje kupce ima negativan utjecaj na osobnu potrošnju građana, ali će dodatno potaknuti mjere energetske učinkovitosti i razvoj malih integriranih fotonaponskih sustava za vlastitu potrošnju. </w:t>
      </w:r>
    </w:p>
    <w:p w:rsidR="007D4A93" w:rsidRPr="00654E3B" w:rsidRDefault="00EF0BEB">
      <w:pPr>
        <w:rPr>
          <w:rFonts w:cs="Times New Roman"/>
        </w:rPr>
      </w:pPr>
      <w:r w:rsidRPr="00654E3B">
        <w:rPr>
          <w:rFonts w:cs="Times New Roman"/>
        </w:rPr>
        <w:t xml:space="preserve">Potrebno je identificirati energetski intenzivnu industriju osjetljivu na rast cijena energije i ugrožene kupce energije (energetsko siromaštvo) te razraditi programe za smanjivanje tereta i jačanje otpornosti za industriju i za ugrožene kupce. Težište mjera treba biti na primjeni mjera energetske učinkovitosti i OIE za vlastitu potrošnju, kako bi se smanjila osjetljivost </w:t>
      </w:r>
      <w:r w:rsidR="007857C2" w:rsidRPr="00654E3B">
        <w:rPr>
          <w:rFonts w:cs="Times New Roman"/>
        </w:rPr>
        <w:t xml:space="preserve">na rast tržišnih </w:t>
      </w:r>
      <w:r w:rsidRPr="00654E3B">
        <w:rPr>
          <w:rFonts w:cs="Times New Roman"/>
        </w:rPr>
        <w:t>cijena.</w:t>
      </w:r>
    </w:p>
    <w:p w:rsidR="007D4A93" w:rsidRPr="00654E3B" w:rsidRDefault="00EF0BEB">
      <w:pPr>
        <w:rPr>
          <w:rFonts w:cs="Times New Roman"/>
          <w:u w:val="single"/>
        </w:rPr>
      </w:pPr>
      <w:r w:rsidRPr="00654E3B">
        <w:rPr>
          <w:rFonts w:cs="Times New Roman"/>
          <w:u w:val="single"/>
        </w:rPr>
        <w:t>Održivim gospodarenjem otpadom i kružnim gospodarstvom dolazi se do ušteda sirovina</w:t>
      </w:r>
    </w:p>
    <w:p w:rsidR="007D4A93" w:rsidRPr="00654E3B" w:rsidRDefault="00EF0BEB">
      <w:pPr>
        <w:rPr>
          <w:rFonts w:cs="Times New Roman"/>
        </w:rPr>
      </w:pPr>
      <w:r w:rsidRPr="00654E3B">
        <w:rPr>
          <w:rFonts w:cs="Times New Roman"/>
        </w:rPr>
        <w:t>Prema dosadašnjoj praksi gospodarenja otpadom, preko 72</w:t>
      </w:r>
      <w:r w:rsidR="00060992" w:rsidRPr="00654E3B">
        <w:rPr>
          <w:rFonts w:cs="Times New Roman"/>
        </w:rPr>
        <w:t xml:space="preserve"> %</w:t>
      </w:r>
      <w:r w:rsidRPr="00654E3B">
        <w:rPr>
          <w:rFonts w:cs="Times New Roman"/>
        </w:rPr>
        <w:t xml:space="preserve"> otpada se odlagalo na odlagališta. Postoje procjene da se time u samo deset godina bacilo sirovine poput stakla, papira, plastike i metala vrijednih preko 5 mlrd. kuna.</w:t>
      </w:r>
    </w:p>
    <w:p w:rsidR="007D4A93" w:rsidRPr="00654E3B" w:rsidRDefault="00EF0BEB">
      <w:pPr>
        <w:rPr>
          <w:rFonts w:cs="Times New Roman"/>
          <w:szCs w:val="24"/>
        </w:rPr>
      </w:pPr>
      <w:r w:rsidRPr="00654E3B">
        <w:rPr>
          <w:rFonts w:cs="Times New Roman"/>
          <w:szCs w:val="24"/>
        </w:rPr>
        <w:t>Reciklabilni otpad i biootpad sakupljaju se odvojeno na mjestu nastanka u svrhu oporabe odnosno recikliranja istih te se prevoze do građevina za gospodarenje otpadom</w:t>
      </w:r>
      <w:r w:rsidR="008E3717" w:rsidRPr="00654E3B">
        <w:rPr>
          <w:rFonts w:cs="Times New Roman"/>
          <w:szCs w:val="24"/>
        </w:rPr>
        <w:t>,</w:t>
      </w:r>
      <w:r w:rsidRPr="00654E3B">
        <w:rPr>
          <w:rFonts w:cs="Times New Roman"/>
          <w:szCs w:val="24"/>
        </w:rPr>
        <w:t xml:space="preserve"> u kojima se obrađuju različitim postupcima oporabe s ciljem proizvodnje sirovina, alternativnog goriva i/ili proizvoda.</w:t>
      </w:r>
    </w:p>
    <w:p w:rsidR="007D4A93" w:rsidRPr="00654E3B" w:rsidRDefault="00EF0BEB">
      <w:pPr>
        <w:rPr>
          <w:rFonts w:cs="Times New Roman"/>
        </w:rPr>
      </w:pPr>
      <w:r w:rsidRPr="00654E3B">
        <w:rPr>
          <w:rFonts w:cs="Times New Roman"/>
        </w:rPr>
        <w:t>Gospodarenje proizvodnim otpadom, u skladu sa zakonodavstvom Republike Hrvatske i EU-a te u skladu s načelima kružnog gospodarstva i biogospodarstva, otvara brojne mogućnosti energetske (ali i materijalne) oporabe otpada za industrijski sektor</w:t>
      </w:r>
      <w:r w:rsidR="008E3717" w:rsidRPr="00654E3B">
        <w:rPr>
          <w:rFonts w:cs="Times New Roman"/>
        </w:rPr>
        <w:t>,</w:t>
      </w:r>
      <w:r w:rsidRPr="00654E3B">
        <w:rPr>
          <w:rFonts w:cs="Times New Roman"/>
        </w:rPr>
        <w:t xml:space="preserve"> koji može koristiti vlastiti otpad kao izvor energije (sirovine) za svoje proizvodne procese.</w:t>
      </w:r>
    </w:p>
    <w:p w:rsidR="007D4A93" w:rsidRPr="00654E3B" w:rsidRDefault="00EF0BEB">
      <w:pPr>
        <w:rPr>
          <w:rFonts w:cs="Times New Roman"/>
        </w:rPr>
      </w:pPr>
      <w:r w:rsidRPr="00654E3B">
        <w:rPr>
          <w:rFonts w:cs="Times New Roman"/>
        </w:rPr>
        <w:t xml:space="preserve">Kružno gospodarenje prostorom i zgradama, prema kojemu postojeći prostori i zgrade predstavljaju bitne resurse, omogućava zadržavanje njihove vrijednosti jer se prostor i zgrade učinkovito i neprekidno koriste, optimizira se odnos primarnih i sekundarnih resursa, radikalno se smanjuje količina otpada, racionalizira se potrošnja energije i uporaba materijala, sprječava stvaranja otpada, reciklira i </w:t>
      </w:r>
      <w:r w:rsidR="008E3717" w:rsidRPr="00654E3B">
        <w:rPr>
          <w:rFonts w:cs="Times New Roman"/>
        </w:rPr>
        <w:t xml:space="preserve">smanjuje količina </w:t>
      </w:r>
      <w:r w:rsidRPr="00654E3B">
        <w:rPr>
          <w:rFonts w:cs="Times New Roman"/>
        </w:rPr>
        <w:t>opasnih kemikalija, te se razvijaju novi materijali i tehnologije. Posljedično se očekuje</w:t>
      </w:r>
      <w:r w:rsidR="008E3717" w:rsidRPr="00654E3B">
        <w:rPr>
          <w:rFonts w:cs="Times New Roman"/>
        </w:rPr>
        <w:t>,</w:t>
      </w:r>
      <w:r w:rsidRPr="00654E3B">
        <w:rPr>
          <w:rFonts w:cs="Times New Roman"/>
        </w:rPr>
        <w:t xml:space="preserve"> da će mjere osigurati gospodarsku stabilnost temeljem neovisnosti od </w:t>
      </w:r>
      <w:r w:rsidR="008E3717" w:rsidRPr="00654E3B">
        <w:rPr>
          <w:rFonts w:cs="Times New Roman"/>
        </w:rPr>
        <w:t xml:space="preserve">primarnih </w:t>
      </w:r>
      <w:r w:rsidRPr="00654E3B">
        <w:rPr>
          <w:rFonts w:cs="Times New Roman"/>
        </w:rPr>
        <w:t>sirovina, ekonomski rast temeljem veće vrijednosti materijala i povećanje stope zaposlenosti.</w:t>
      </w:r>
    </w:p>
    <w:p w:rsidR="007D4A93" w:rsidRPr="00654E3B" w:rsidRDefault="00EF0BEB">
      <w:pPr>
        <w:rPr>
          <w:rFonts w:cs="Times New Roman"/>
          <w:u w:val="single"/>
        </w:rPr>
      </w:pPr>
      <w:r w:rsidRPr="00654E3B">
        <w:rPr>
          <w:rFonts w:cs="Times New Roman"/>
          <w:u w:val="single"/>
        </w:rPr>
        <w:lastRenderedPageBreak/>
        <w:t>Prilike za inovacije i razvoj industrije</w:t>
      </w:r>
    </w:p>
    <w:p w:rsidR="007D4A93" w:rsidRPr="00654E3B" w:rsidRDefault="00EF0BEB">
      <w:pPr>
        <w:rPr>
          <w:rFonts w:cs="Times New Roman"/>
        </w:rPr>
      </w:pPr>
      <w:r w:rsidRPr="00654E3B">
        <w:rPr>
          <w:rFonts w:cs="Times New Roman"/>
        </w:rPr>
        <w:t xml:space="preserve">Niskougljičnim razvojem otvaraju se nove tržišne niše. Uključivanje domaće industrije u nova razvojna područja je prilika za razvoj inovacija, konkurentnosti i industrijski razvoj koji može biti snažan generator rasta BDP-a i zaposlenosti. </w:t>
      </w:r>
    </w:p>
    <w:p w:rsidR="007D4A93" w:rsidRPr="00654E3B" w:rsidRDefault="00EF0BEB">
      <w:pPr>
        <w:rPr>
          <w:rFonts w:cs="Times New Roman"/>
        </w:rPr>
      </w:pPr>
      <w:r w:rsidRPr="00654E3B">
        <w:rPr>
          <w:rFonts w:cs="Times New Roman"/>
        </w:rPr>
        <w:t xml:space="preserve">Nove politike niskougljičnog, energetskog i industrijskog razvoja, pametne specijalizacije kao i sve ostale, treba uskladiti kako bi hrvatska poduzeća ostvarila konkurentnost potrebnu za proizvodnju opreme i uređaja te pružanje usluga vezanih uz niskougljični razvoj na našem i međunarodnom tržištu. Potrebno je usmjeriti ulaganja u proizvodnju opreme i uređaja za kemijsko recikliranje otpada, </w:t>
      </w:r>
      <w:r w:rsidR="008E3717" w:rsidRPr="00654E3B">
        <w:rPr>
          <w:rFonts w:cs="Times New Roman"/>
        </w:rPr>
        <w:t xml:space="preserve">te </w:t>
      </w:r>
      <w:r w:rsidRPr="00654E3B">
        <w:rPr>
          <w:rFonts w:cs="Times New Roman"/>
        </w:rPr>
        <w:t>proizvodnju i preradu goriva iz otpada.</w:t>
      </w:r>
    </w:p>
    <w:p w:rsidR="007D4A93" w:rsidRPr="00654E3B" w:rsidRDefault="00EF0BEB">
      <w:pPr>
        <w:rPr>
          <w:rFonts w:cs="Times New Roman"/>
          <w:u w:val="single"/>
        </w:rPr>
      </w:pPr>
      <w:r w:rsidRPr="00654E3B">
        <w:rPr>
          <w:rFonts w:cs="Times New Roman"/>
          <w:u w:val="single"/>
        </w:rPr>
        <w:t xml:space="preserve">Utjecaj ciljeva ETS-a </w:t>
      </w:r>
    </w:p>
    <w:p w:rsidR="007D4A93" w:rsidRPr="00654E3B" w:rsidRDefault="00EF0BEB">
      <w:pPr>
        <w:rPr>
          <w:rFonts w:cs="Times New Roman"/>
        </w:rPr>
      </w:pPr>
      <w:r w:rsidRPr="00654E3B">
        <w:rPr>
          <w:rFonts w:cs="Times New Roman"/>
        </w:rPr>
        <w:t xml:space="preserve">Mehanizam održavanja stabilnosti tržišta (eng. </w:t>
      </w:r>
      <w:r w:rsidRPr="00654E3B">
        <w:rPr>
          <w:rFonts w:cs="Times New Roman"/>
          <w:i/>
        </w:rPr>
        <w:t>Market Stability Reserve – MSR</w:t>
      </w:r>
      <w:r w:rsidRPr="00654E3B">
        <w:rPr>
          <w:rFonts w:cs="Times New Roman"/>
        </w:rPr>
        <w:t>) koji uvodi EU</w:t>
      </w:r>
      <w:r w:rsidR="008E3717" w:rsidRPr="00654E3B">
        <w:rPr>
          <w:rFonts w:cs="Times New Roman"/>
        </w:rPr>
        <w:t>,</w:t>
      </w:r>
      <w:r w:rsidRPr="00654E3B">
        <w:rPr>
          <w:rFonts w:cs="Times New Roman"/>
        </w:rPr>
        <w:t xml:space="preserve"> doprinosi predvidivosti cijena emisijskih jedinica, što će ubrzati primjenu mjera za smanjenje emisija stakleničkih plinova. Troškovi za emisijske jedinice u razdoblju od 2020. do 2030. godine utjecati će na konkurentnost hrvatskih operatera, a mogli bi doseći 0,5</w:t>
      </w:r>
      <w:r w:rsidR="00060992" w:rsidRPr="00654E3B">
        <w:rPr>
          <w:rFonts w:cs="Times New Roman"/>
        </w:rPr>
        <w:t xml:space="preserve"> %</w:t>
      </w:r>
      <w:r w:rsidRPr="00654E3B">
        <w:rPr>
          <w:rFonts w:cs="Times New Roman"/>
        </w:rPr>
        <w:t xml:space="preserve"> BDP-a u 2030. godini, ako cijena jedinica bude viša od 30 EUR/tCO</w:t>
      </w:r>
      <w:r w:rsidRPr="00654E3B">
        <w:rPr>
          <w:rFonts w:cs="Times New Roman"/>
          <w:vertAlign w:val="subscript"/>
        </w:rPr>
        <w:t>2</w:t>
      </w:r>
      <w:r w:rsidRPr="00654E3B">
        <w:rPr>
          <w:rFonts w:cs="Times New Roman"/>
        </w:rPr>
        <w:t>e. Industrija u ETS-u može primijeniti niz troškovno učinkovitih mjera, što će biti isplativije od kupovanja emisijskih jedinica, budući većina mjera ima troškove manje od 30 EUR/tCO</w:t>
      </w:r>
      <w:r w:rsidRPr="00654E3B">
        <w:rPr>
          <w:rFonts w:cs="Times New Roman"/>
          <w:vertAlign w:val="subscript"/>
        </w:rPr>
        <w:t>2</w:t>
      </w:r>
      <w:r w:rsidRPr="00654E3B">
        <w:rPr>
          <w:rFonts w:cs="Times New Roman"/>
        </w:rPr>
        <w:t>e.</w:t>
      </w:r>
    </w:p>
    <w:p w:rsidR="00286AFC" w:rsidRPr="00654E3B" w:rsidRDefault="00EF0BEB">
      <w:pPr>
        <w:rPr>
          <w:rFonts w:cs="Times New Roman"/>
        </w:rPr>
      </w:pPr>
      <w:r w:rsidRPr="00654E3B">
        <w:rPr>
          <w:rFonts w:cs="Times New Roman"/>
        </w:rPr>
        <w:t xml:space="preserve">Potrebno je što prije započeti s primjenom mjera, modernizacijom postrojenja, snižavanjem ukupne energetske potrošnje i primjenom obnovljivih izvora energije. Postojeći poticaji i mehanizmi poticanja nisu dostatni. Potpore industriji su ograničene pravilima o dodjeljivanju državnih potpora. Potrebno je formirati programe poticanja za smanjenje emisije koji će potaknuti i mobilizirati industriju na poduzimanje mjera te pripremiti sheme financiranja za korištenje sredstava iz </w:t>
      </w:r>
      <w:r w:rsidR="00AD2DF6" w:rsidRPr="00654E3B">
        <w:rPr>
          <w:rFonts w:cs="Times New Roman"/>
        </w:rPr>
        <w:t>M</w:t>
      </w:r>
      <w:r w:rsidRPr="00654E3B">
        <w:rPr>
          <w:rFonts w:cs="Times New Roman"/>
        </w:rPr>
        <w:t>odernizacij</w:t>
      </w:r>
      <w:r w:rsidR="00AD2DF6" w:rsidRPr="00654E3B">
        <w:rPr>
          <w:rFonts w:cs="Times New Roman"/>
        </w:rPr>
        <w:t>skog fonda</w:t>
      </w:r>
      <w:r w:rsidRPr="00654E3B">
        <w:rPr>
          <w:rFonts w:cs="Times New Roman"/>
        </w:rPr>
        <w:t xml:space="preserve"> (dio </w:t>
      </w:r>
      <w:r w:rsidR="00AD2DF6" w:rsidRPr="00654E3B">
        <w:rPr>
          <w:rFonts w:cs="Times New Roman"/>
        </w:rPr>
        <w:t>preusmjeren</w:t>
      </w:r>
      <w:r w:rsidRPr="00654E3B">
        <w:rPr>
          <w:rFonts w:cs="Times New Roman"/>
        </w:rPr>
        <w:t xml:space="preserve"> iz dražbovnih prava ETS-a).</w:t>
      </w:r>
    </w:p>
    <w:p w:rsidR="007D4A93" w:rsidRPr="00654E3B" w:rsidRDefault="00EF0BEB">
      <w:pPr>
        <w:pStyle w:val="Heading2"/>
        <w:rPr>
          <w:rFonts w:ascii="Times New Roman" w:hAnsi="Times New Roman" w:cs="Times New Roman"/>
        </w:rPr>
      </w:pPr>
      <w:bookmarkStart w:id="310" w:name="_Toc20841317"/>
      <w:bookmarkStart w:id="311" w:name="_Toc20841423"/>
      <w:bookmarkStart w:id="312" w:name="_Toc69810204"/>
      <w:r w:rsidRPr="00654E3B">
        <w:rPr>
          <w:rFonts w:ascii="Times New Roman" w:hAnsi="Times New Roman" w:cs="Times New Roman"/>
        </w:rPr>
        <w:t>8.3.</w:t>
      </w:r>
      <w:r w:rsidRPr="00654E3B">
        <w:rPr>
          <w:rFonts w:ascii="Times New Roman" w:hAnsi="Times New Roman" w:cs="Times New Roman"/>
        </w:rPr>
        <w:tab/>
        <w:t>UTJECAJ NA DRUŠTVO</w:t>
      </w:r>
      <w:bookmarkEnd w:id="310"/>
      <w:bookmarkEnd w:id="311"/>
      <w:bookmarkEnd w:id="312"/>
    </w:p>
    <w:p w:rsidR="007D4A93" w:rsidRPr="00654E3B" w:rsidRDefault="007D4A93">
      <w:pPr>
        <w:rPr>
          <w:rFonts w:cs="Times New Roman"/>
        </w:rPr>
      </w:pPr>
    </w:p>
    <w:p w:rsidR="00286AFC" w:rsidRPr="00654E3B" w:rsidRDefault="00EF0BEB">
      <w:pPr>
        <w:rPr>
          <w:rFonts w:cs="Times New Roman"/>
        </w:rPr>
      </w:pPr>
      <w:r w:rsidRPr="00654E3B">
        <w:rPr>
          <w:rFonts w:cs="Times New Roman"/>
        </w:rPr>
        <w:t>Sociološki utjecaj se primarno odnosi na zapošljavanje, pozitivni utjecaj javnih prihoda koji se ostvaruju naknadama na emisije CO</w:t>
      </w:r>
      <w:r w:rsidRPr="00654E3B">
        <w:rPr>
          <w:rFonts w:cs="Times New Roman"/>
          <w:vertAlign w:val="subscript"/>
        </w:rPr>
        <w:t>2</w:t>
      </w:r>
      <w:r w:rsidR="00F61577" w:rsidRPr="00654E3B">
        <w:rPr>
          <w:rFonts w:cs="Times New Roman"/>
        </w:rPr>
        <w:t>.</w:t>
      </w:r>
      <w:r w:rsidRPr="00654E3B">
        <w:rPr>
          <w:rFonts w:cs="Times New Roman"/>
        </w:rPr>
        <w:t xml:space="preserve"> Koristi po društvo su</w:t>
      </w:r>
      <w:r w:rsidR="008E3717" w:rsidRPr="00654E3B">
        <w:rPr>
          <w:rFonts w:cs="Times New Roman"/>
        </w:rPr>
        <w:t xml:space="preserve"> </w:t>
      </w:r>
      <w:r w:rsidRPr="00654E3B">
        <w:rPr>
          <w:rFonts w:cs="Times New Roman"/>
        </w:rPr>
        <w:t>izbjegnuti štetni učinci na zdravlje zbog smanjene emisije SO</w:t>
      </w:r>
      <w:r w:rsidRPr="00654E3B">
        <w:rPr>
          <w:rFonts w:cs="Times New Roman"/>
          <w:vertAlign w:val="subscript"/>
        </w:rPr>
        <w:t>2</w:t>
      </w:r>
      <w:r w:rsidRPr="00654E3B">
        <w:rPr>
          <w:rFonts w:cs="Times New Roman"/>
        </w:rPr>
        <w:t xml:space="preserve">, NOx i čestica. </w:t>
      </w:r>
    </w:p>
    <w:p w:rsidR="007D4A93" w:rsidRPr="00654E3B" w:rsidRDefault="00EF0BEB">
      <w:pPr>
        <w:rPr>
          <w:rFonts w:cs="Times New Roman"/>
          <w:u w:val="single"/>
        </w:rPr>
      </w:pPr>
      <w:r w:rsidRPr="00654E3B">
        <w:rPr>
          <w:rFonts w:cs="Times New Roman"/>
          <w:u w:val="single"/>
        </w:rPr>
        <w:t>Radna mjesta</w:t>
      </w:r>
    </w:p>
    <w:p w:rsidR="007D4A93" w:rsidRPr="00654E3B" w:rsidRDefault="00EF0BEB">
      <w:pPr>
        <w:rPr>
          <w:rFonts w:cs="Times New Roman"/>
        </w:rPr>
      </w:pPr>
      <w:r w:rsidRPr="00654E3B">
        <w:rPr>
          <w:rFonts w:cs="Times New Roman"/>
        </w:rPr>
        <w:t>Primjenom niskougljičnih tehnologija otvaraju se tzv. 'zelena' radna mjesta. To su nova i postojeća radna mjesta koja će se preorijentirati na 'zelene' poslove. Određeni postojeći kapaciteti (iz primjerice, građevinskih i montažerskih radova)</w:t>
      </w:r>
      <w:r w:rsidR="00FC5E82" w:rsidRPr="00654E3B">
        <w:rPr>
          <w:rFonts w:cs="Times New Roman"/>
        </w:rPr>
        <w:t>,</w:t>
      </w:r>
      <w:r w:rsidRPr="00654E3B">
        <w:rPr>
          <w:rFonts w:cs="Times New Roman"/>
        </w:rPr>
        <w:t xml:space="preserve"> mogu se relativno lako preorijentirati na zelene poslove, dok će u nekim područjima biti potrebna nova znanja i specijalizacije.  </w:t>
      </w:r>
    </w:p>
    <w:p w:rsidR="007D4A93" w:rsidRPr="00654E3B" w:rsidRDefault="00EF0BEB">
      <w:pPr>
        <w:rPr>
          <w:rFonts w:cs="Times New Roman"/>
          <w:szCs w:val="24"/>
        </w:rPr>
      </w:pPr>
      <w:r w:rsidRPr="00654E3B">
        <w:rPr>
          <w:rFonts w:cs="Times New Roman"/>
          <w:szCs w:val="24"/>
        </w:rPr>
        <w:t>Predviđene investicije u niskougljični razvoj najveći utjecaj će imati na rast građevinarstva, industrije i uslužnih djelatnosti. U početnim godinama očekuje se oko 40.000 novozaposlenih, od čega oko 44</w:t>
      </w:r>
      <w:r w:rsidR="00060992" w:rsidRPr="00654E3B">
        <w:rPr>
          <w:rFonts w:cs="Times New Roman"/>
          <w:szCs w:val="24"/>
        </w:rPr>
        <w:t xml:space="preserve"> %</w:t>
      </w:r>
      <w:r w:rsidRPr="00654E3B">
        <w:rPr>
          <w:rFonts w:cs="Times New Roman"/>
          <w:szCs w:val="24"/>
        </w:rPr>
        <w:t xml:space="preserve"> u djelatnosti građevinarstva, oko 33</w:t>
      </w:r>
      <w:r w:rsidR="00060992" w:rsidRPr="00654E3B">
        <w:rPr>
          <w:rFonts w:cs="Times New Roman"/>
          <w:szCs w:val="24"/>
        </w:rPr>
        <w:t xml:space="preserve"> %</w:t>
      </w:r>
      <w:r w:rsidRPr="00654E3B">
        <w:rPr>
          <w:rFonts w:cs="Times New Roman"/>
          <w:szCs w:val="24"/>
        </w:rPr>
        <w:t xml:space="preserve"> u industriji, a ostatak od oko 23</w:t>
      </w:r>
      <w:r w:rsidR="00060992" w:rsidRPr="00654E3B">
        <w:rPr>
          <w:rFonts w:cs="Times New Roman"/>
          <w:szCs w:val="24"/>
        </w:rPr>
        <w:t xml:space="preserve"> %</w:t>
      </w:r>
      <w:r w:rsidRPr="00654E3B">
        <w:rPr>
          <w:rFonts w:cs="Times New Roman"/>
          <w:szCs w:val="24"/>
        </w:rPr>
        <w:t xml:space="preserve"> u uslužnim djelatnostima. Za očekivati je da rast zaposlenosti neće imati istu dinamiku u idućim godinama zbog rasta produktivnosti radnika, primjene novih tehnologija, premještanja radnika sa završenih radova na nove radove i sl.</w:t>
      </w:r>
    </w:p>
    <w:p w:rsidR="007D4A93" w:rsidRPr="00654E3B" w:rsidRDefault="00EF0BEB">
      <w:pPr>
        <w:keepNext/>
        <w:rPr>
          <w:rFonts w:cs="Times New Roman"/>
          <w:u w:val="single"/>
        </w:rPr>
      </w:pPr>
      <w:r w:rsidRPr="00654E3B">
        <w:rPr>
          <w:rFonts w:cs="Times New Roman"/>
          <w:u w:val="single"/>
        </w:rPr>
        <w:t xml:space="preserve">Dostupnost energije </w:t>
      </w:r>
    </w:p>
    <w:p w:rsidR="007D4A93" w:rsidRPr="00654E3B" w:rsidRDefault="00EF0BEB">
      <w:pPr>
        <w:keepNext/>
        <w:rPr>
          <w:rFonts w:cs="Times New Roman"/>
        </w:rPr>
      </w:pPr>
      <w:r w:rsidRPr="00654E3B">
        <w:rPr>
          <w:rFonts w:cs="Times New Roman"/>
        </w:rPr>
        <w:t>Prema analizama potrošnje kućanstava, gotovo 20</w:t>
      </w:r>
      <w:r w:rsidR="00060992" w:rsidRPr="00654E3B">
        <w:rPr>
          <w:rFonts w:cs="Times New Roman"/>
        </w:rPr>
        <w:t xml:space="preserve"> %</w:t>
      </w:r>
      <w:r w:rsidRPr="00654E3B">
        <w:rPr>
          <w:rFonts w:cs="Times New Roman"/>
        </w:rPr>
        <w:t xml:space="preserve"> kućanstava u Republici Hrvatskoj troši znatno više od 10</w:t>
      </w:r>
      <w:r w:rsidR="00060992" w:rsidRPr="00654E3B">
        <w:rPr>
          <w:rFonts w:cs="Times New Roman"/>
        </w:rPr>
        <w:t xml:space="preserve"> %</w:t>
      </w:r>
      <w:r w:rsidRPr="00654E3B">
        <w:rPr>
          <w:rFonts w:cs="Times New Roman"/>
        </w:rPr>
        <w:t xml:space="preserve"> ukupnih izdataka za osobnu potrošnju na energente (električnu energiju, plin i kruta goriva). Potrebno je programe provedbe pojedinih mjera energetske politike i primjenu novih tehničkih i tehnoloških rješenja povezati s mjerama smanjenja energetskog siromaštva te je u tom smislu potrebno izraditi, usvojiti i primjenjivati program za suzbijanje energetskog siromaštva. Na taj način bi se omogućilo trajno smanjenje troškova za energiju u energetski siromašnim kućanstvima, poboljšali bi se njihovi životni uvjeti te bi se smanjila potrebna izdvajanja za pružanje pomoći takvim kućanstvima.</w:t>
      </w:r>
    </w:p>
    <w:p w:rsidR="007D4A93" w:rsidRPr="00654E3B" w:rsidRDefault="00EF0BEB" w:rsidP="00B92F63">
      <w:pPr>
        <w:pStyle w:val="Heading2"/>
        <w:keepNext w:val="0"/>
        <w:rPr>
          <w:rFonts w:ascii="Times New Roman" w:hAnsi="Times New Roman" w:cs="Times New Roman"/>
        </w:rPr>
      </w:pPr>
      <w:bookmarkStart w:id="313" w:name="_Toc20841318"/>
      <w:bookmarkStart w:id="314" w:name="_Toc20841424"/>
      <w:bookmarkStart w:id="315" w:name="_Toc69810205"/>
      <w:r w:rsidRPr="00654E3B">
        <w:rPr>
          <w:rFonts w:ascii="Times New Roman" w:hAnsi="Times New Roman" w:cs="Times New Roman"/>
        </w:rPr>
        <w:t>8.4.</w:t>
      </w:r>
      <w:r w:rsidRPr="00654E3B">
        <w:rPr>
          <w:rFonts w:ascii="Times New Roman" w:hAnsi="Times New Roman" w:cs="Times New Roman"/>
        </w:rPr>
        <w:tab/>
        <w:t>PROCJENA KORISTI NISKOUGLJIČNOG RAZVOJA</w:t>
      </w:r>
      <w:bookmarkEnd w:id="313"/>
      <w:bookmarkEnd w:id="314"/>
      <w:bookmarkEnd w:id="315"/>
    </w:p>
    <w:p w:rsidR="007D4A93" w:rsidRPr="00654E3B" w:rsidRDefault="007D4A93" w:rsidP="00B92F63">
      <w:pPr>
        <w:rPr>
          <w:rFonts w:cs="Times New Roman"/>
        </w:rPr>
      </w:pPr>
    </w:p>
    <w:p w:rsidR="007D4A93" w:rsidRPr="00654E3B" w:rsidRDefault="00EF0BEB" w:rsidP="00B92F63">
      <w:pPr>
        <w:rPr>
          <w:rFonts w:cs="Times New Roman"/>
          <w:i/>
        </w:rPr>
      </w:pPr>
      <w:r w:rsidRPr="00654E3B">
        <w:rPr>
          <w:rFonts w:cs="Times New Roman"/>
        </w:rPr>
        <w:t>Niskougljičnim razvojem doći će do promjena u gospodarstvu i društvu u odnosu na razvoj prema referentnom scenariju. U tablici 8-1 navedene su glavne koristi i izazovi vezani za utjecaje na okoliš, gospodarstvo i društvo uslijed niskougljičnog razvoja.</w:t>
      </w:r>
      <w:bookmarkStart w:id="316" w:name="_Toc484158412"/>
      <w:bookmarkStart w:id="317" w:name="_Toc33417120"/>
    </w:p>
    <w:p w:rsidR="007D4A93" w:rsidRPr="00654E3B" w:rsidRDefault="00EF0BEB">
      <w:pPr>
        <w:rPr>
          <w:rFonts w:cs="Times New Roman"/>
          <w:i/>
        </w:rPr>
      </w:pPr>
      <w:r w:rsidRPr="00654E3B">
        <w:rPr>
          <w:rFonts w:cs="Times New Roman"/>
          <w:i/>
        </w:rPr>
        <w:t>Tablica 8-1: Glavni pozitivni i negativni utjecaji niskougljičnog razvoja</w:t>
      </w:r>
      <w:bookmarkEnd w:id="316"/>
      <w:bookmarkEnd w:id="317"/>
    </w:p>
    <w:tbl>
      <w:tblPr>
        <w:tblStyle w:val="TableGrid"/>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3402"/>
      </w:tblGrid>
      <w:tr w:rsidR="007D4A93" w:rsidRPr="00654E3B" w:rsidTr="007D4A9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bottom w:val="none" w:sz="0" w:space="0" w:color="auto"/>
              <w:right w:val="none" w:sz="0" w:space="0" w:color="auto"/>
            </w:tcBorders>
            <w:shd w:val="clear" w:color="auto" w:fill="F2F2F2" w:themeFill="background1" w:themeFillShade="F2"/>
            <w:noWrap/>
          </w:tcPr>
          <w:p w:rsidR="007D4A93" w:rsidRPr="00654E3B" w:rsidRDefault="00EF0BEB">
            <w:pPr>
              <w:jc w:val="left"/>
              <w:rPr>
                <w:rFonts w:cs="Times New Roman"/>
                <w:b/>
                <w:sz w:val="22"/>
              </w:rPr>
            </w:pPr>
            <w:r w:rsidRPr="00654E3B">
              <w:rPr>
                <w:rFonts w:cs="Times New Roman"/>
                <w:b/>
                <w:bCs/>
                <w:spacing w:val="-1"/>
              </w:rPr>
              <w:t>Sektor\Utjecaj</w:t>
            </w:r>
          </w:p>
        </w:tc>
        <w:tc>
          <w:tcPr>
            <w:tcW w:w="3685" w:type="dxa"/>
            <w:tcBorders>
              <w:left w:val="none" w:sz="0" w:space="0" w:color="auto"/>
              <w:right w:val="none" w:sz="0" w:space="0" w:color="auto"/>
            </w:tcBorders>
            <w:shd w:val="clear" w:color="auto" w:fill="F2F2F2" w:themeFill="background1" w:themeFillShade="F2"/>
          </w:tcPr>
          <w:p w:rsidR="007D4A93" w:rsidRPr="00654E3B" w:rsidRDefault="00EF0BEB">
            <w:pPr>
              <w:keepNext/>
              <w:cnfStyle w:val="100000000000" w:firstRow="1" w:lastRow="0" w:firstColumn="0" w:lastColumn="0" w:oddVBand="0" w:evenVBand="0" w:oddHBand="0" w:evenHBand="0" w:firstRowFirstColumn="0" w:firstRowLastColumn="0" w:lastRowFirstColumn="0" w:lastRowLastColumn="0"/>
              <w:rPr>
                <w:rFonts w:cs="Times New Roman"/>
                <w:b/>
                <w:sz w:val="22"/>
              </w:rPr>
            </w:pPr>
            <w:r w:rsidRPr="00654E3B">
              <w:rPr>
                <w:rFonts w:cs="Times New Roman"/>
                <w:b/>
              </w:rPr>
              <w:t>Koristi</w:t>
            </w:r>
          </w:p>
        </w:tc>
        <w:tc>
          <w:tcPr>
            <w:tcW w:w="3402" w:type="dxa"/>
            <w:tcBorders>
              <w:left w:val="none" w:sz="0" w:space="0" w:color="auto"/>
            </w:tcBorders>
            <w:shd w:val="clear" w:color="auto" w:fill="F2F2F2" w:themeFill="background1" w:themeFillShade="F2"/>
            <w:noWrap/>
          </w:tcPr>
          <w:p w:rsidR="007D4A93" w:rsidRPr="00654E3B" w:rsidRDefault="00EF0BEB">
            <w:pPr>
              <w:keepNext/>
              <w:cnfStyle w:val="100000000000" w:firstRow="1" w:lastRow="0" w:firstColumn="0" w:lastColumn="0" w:oddVBand="0" w:evenVBand="0" w:oddHBand="0" w:evenHBand="0" w:firstRowFirstColumn="0" w:firstRowLastColumn="0" w:lastRowFirstColumn="0" w:lastRowLastColumn="0"/>
              <w:rPr>
                <w:rFonts w:cs="Times New Roman"/>
                <w:b/>
                <w:sz w:val="22"/>
              </w:rPr>
            </w:pPr>
            <w:r w:rsidRPr="00654E3B">
              <w:rPr>
                <w:rFonts w:cs="Times New Roman"/>
                <w:b/>
              </w:rPr>
              <w:t>Izazovi i rizici</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F2F2F2" w:themeFill="background1" w:themeFillShade="F2"/>
            <w:noWrap/>
            <w:vAlign w:val="center"/>
          </w:tcPr>
          <w:p w:rsidR="007D4A93" w:rsidRPr="00654E3B" w:rsidRDefault="00EF0BEB">
            <w:pPr>
              <w:rPr>
                <w:rFonts w:cs="Times New Roman"/>
                <w:sz w:val="22"/>
              </w:rPr>
            </w:pPr>
            <w:r w:rsidRPr="00654E3B">
              <w:rPr>
                <w:rFonts w:cs="Times New Roman"/>
              </w:rPr>
              <w:t>Okoliš</w:t>
            </w:r>
          </w:p>
        </w:tc>
        <w:tc>
          <w:tcPr>
            <w:tcW w:w="3685" w:type="dxa"/>
            <w:shd w:val="clear" w:color="auto" w:fill="auto"/>
          </w:tcPr>
          <w:p w:rsidR="007D4A93" w:rsidRPr="00654E3B" w:rsidRDefault="00EF0BEB" w:rsidP="000C6795">
            <w:pPr>
              <w:pStyle w:val="ListParagraph"/>
              <w:keepNext/>
              <w:numPr>
                <w:ilvl w:val="0"/>
                <w:numId w:val="36"/>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emisija onečišćujućih tvari</w:t>
            </w:r>
          </w:p>
          <w:p w:rsidR="007D4A93" w:rsidRPr="00654E3B" w:rsidRDefault="00EF0BEB" w:rsidP="000C6795">
            <w:pPr>
              <w:pStyle w:val="ListParagraph"/>
              <w:keepNext/>
              <w:numPr>
                <w:ilvl w:val="0"/>
                <w:numId w:val="36"/>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odlaganja otpada</w:t>
            </w:r>
          </w:p>
        </w:tc>
        <w:tc>
          <w:tcPr>
            <w:tcW w:w="3402" w:type="dxa"/>
            <w:shd w:val="clear" w:color="auto" w:fill="auto"/>
          </w:tcPr>
          <w:p w:rsidR="007D4A93" w:rsidRPr="00654E3B" w:rsidRDefault="00EF0BEB" w:rsidP="000C6795">
            <w:pPr>
              <w:pStyle w:val="ListParagraph"/>
              <w:keepNext/>
              <w:numPr>
                <w:ilvl w:val="0"/>
                <w:numId w:val="38"/>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Utjecaj na okoliš OIE</w:t>
            </w:r>
          </w:p>
          <w:p w:rsidR="007D4A93" w:rsidRPr="00654E3B" w:rsidRDefault="00EF0BEB" w:rsidP="000C6795">
            <w:pPr>
              <w:pStyle w:val="ListParagraph"/>
              <w:keepNext/>
              <w:numPr>
                <w:ilvl w:val="0"/>
                <w:numId w:val="38"/>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 xml:space="preserve">Nove vrste i količine otpada </w:t>
            </w:r>
          </w:p>
        </w:tc>
      </w:tr>
      <w:tr w:rsidR="007D4A93" w:rsidRPr="00654E3B" w:rsidTr="007D4A93">
        <w:trPr>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bottom w:val="none" w:sz="0" w:space="0" w:color="auto"/>
            </w:tcBorders>
            <w:shd w:val="clear" w:color="auto" w:fill="F2F2F2" w:themeFill="background1" w:themeFillShade="F2"/>
            <w:noWrap/>
            <w:vAlign w:val="center"/>
          </w:tcPr>
          <w:p w:rsidR="007D4A93" w:rsidRPr="00654E3B" w:rsidRDefault="00EF0BEB">
            <w:pPr>
              <w:rPr>
                <w:rFonts w:cs="Times New Roman"/>
                <w:sz w:val="22"/>
              </w:rPr>
            </w:pPr>
            <w:r w:rsidRPr="00654E3B">
              <w:rPr>
                <w:rFonts w:cs="Times New Roman"/>
              </w:rPr>
              <w:t>Gospodarstvo</w:t>
            </w:r>
          </w:p>
        </w:tc>
        <w:tc>
          <w:tcPr>
            <w:tcW w:w="3685" w:type="dxa"/>
            <w:shd w:val="clear" w:color="auto" w:fill="auto"/>
          </w:tcPr>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Pokretanje investicija u niskougljične mjere</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Korištenje sredstva EU fondova za investicije</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Smanjenje uvoza energenata</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Manja potrošnja resursa uslijed održivog gospodarenja otpadom</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Otvaranje novih „zelenih“ radnih mjesta</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Poticaji za tehnološki razvoj i inovacije</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Izbjegavanje onečišćenja zraka i povezane koristi za zdravlje</w:t>
            </w:r>
          </w:p>
          <w:p w:rsidR="007D4A93" w:rsidRPr="00654E3B" w:rsidRDefault="00EF0BEB" w:rsidP="000C6795">
            <w:pPr>
              <w:pStyle w:val="ListParagraph"/>
              <w:keepNext/>
              <w:numPr>
                <w:ilvl w:val="0"/>
                <w:numId w:val="37"/>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Ublažavanje klimatskih promjena i vezanih posljedica</w:t>
            </w:r>
          </w:p>
        </w:tc>
        <w:tc>
          <w:tcPr>
            <w:tcW w:w="3402" w:type="dxa"/>
            <w:shd w:val="clear" w:color="auto" w:fill="auto"/>
          </w:tcPr>
          <w:p w:rsidR="007D4A93" w:rsidRPr="00654E3B" w:rsidRDefault="00EF0BEB" w:rsidP="000C6795">
            <w:pPr>
              <w:pStyle w:val="ListParagraph"/>
              <w:keepNext/>
              <w:numPr>
                <w:ilvl w:val="0"/>
                <w:numId w:val="38"/>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Troškovi za subvencioniranje određenih investicija u niskougljične mjere</w:t>
            </w:r>
          </w:p>
          <w:p w:rsidR="007D4A93" w:rsidRPr="00654E3B" w:rsidRDefault="00EF0BEB" w:rsidP="000C6795">
            <w:pPr>
              <w:pStyle w:val="ListParagraph"/>
              <w:keepNext/>
              <w:numPr>
                <w:ilvl w:val="0"/>
                <w:numId w:val="38"/>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Trošak za postrojenja - izvore emisija stakleničkih plinova te djelatnosti osjetljive na porast troškova njihovih proizvoda</w:t>
            </w:r>
          </w:p>
          <w:p w:rsidR="007D4A93" w:rsidRPr="00654E3B" w:rsidRDefault="00EF0BEB" w:rsidP="000C6795">
            <w:pPr>
              <w:pStyle w:val="ListParagraph"/>
              <w:keepNext/>
              <w:numPr>
                <w:ilvl w:val="0"/>
                <w:numId w:val="38"/>
              </w:numPr>
              <w:ind w:left="340" w:hanging="227"/>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 dužem roku manje investicija u sektore vezane za potrošnju fosilnog goriva</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tcBorders>
            <w:shd w:val="clear" w:color="auto" w:fill="F2F2F2" w:themeFill="background1" w:themeFillShade="F2"/>
            <w:noWrap/>
            <w:vAlign w:val="center"/>
          </w:tcPr>
          <w:p w:rsidR="007D4A93" w:rsidRPr="00654E3B" w:rsidRDefault="00EF0BEB">
            <w:pPr>
              <w:rPr>
                <w:rFonts w:cs="Times New Roman"/>
                <w:sz w:val="22"/>
              </w:rPr>
            </w:pPr>
            <w:r w:rsidRPr="00654E3B">
              <w:rPr>
                <w:rFonts w:cs="Times New Roman"/>
              </w:rPr>
              <w:t>Društvo</w:t>
            </w:r>
          </w:p>
        </w:tc>
        <w:tc>
          <w:tcPr>
            <w:tcW w:w="3685" w:type="dxa"/>
            <w:shd w:val="clear" w:color="auto" w:fill="auto"/>
          </w:tcPr>
          <w:p w:rsidR="007D4A93" w:rsidRPr="00654E3B" w:rsidRDefault="00EF0BEB" w:rsidP="000C6795">
            <w:pPr>
              <w:pStyle w:val="ListParagraph"/>
              <w:keepNext/>
              <w:numPr>
                <w:ilvl w:val="0"/>
                <w:numId w:val="35"/>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zdravstvenih problema zbog manjih emisija onečišćujućih tvari</w:t>
            </w:r>
          </w:p>
          <w:p w:rsidR="007D4A93" w:rsidRPr="00654E3B" w:rsidRDefault="00EF0BEB" w:rsidP="000C6795">
            <w:pPr>
              <w:pStyle w:val="ListParagraph"/>
              <w:keepNext/>
              <w:numPr>
                <w:ilvl w:val="0"/>
                <w:numId w:val="35"/>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Otvaranje novih "zelenih" radnih mjesta</w:t>
            </w:r>
          </w:p>
          <w:p w:rsidR="007D4A93" w:rsidRPr="00654E3B" w:rsidRDefault="00EF0BEB" w:rsidP="000C6795">
            <w:pPr>
              <w:pStyle w:val="ListParagraph"/>
              <w:keepNext/>
              <w:numPr>
                <w:ilvl w:val="0"/>
                <w:numId w:val="35"/>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Mogućnost aktivnog sudjelovanja građana kao kupca i proizvođača energije</w:t>
            </w:r>
          </w:p>
          <w:p w:rsidR="007D4A93" w:rsidRPr="00654E3B" w:rsidRDefault="00EF0BEB" w:rsidP="000C6795">
            <w:pPr>
              <w:pStyle w:val="ListParagraph"/>
              <w:keepNext/>
              <w:numPr>
                <w:ilvl w:val="0"/>
                <w:numId w:val="35"/>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Razvoj načina mišljenja i djelovanja s ciljem smanjenja ugljičnog otiska</w:t>
            </w:r>
          </w:p>
        </w:tc>
        <w:tc>
          <w:tcPr>
            <w:tcW w:w="3402" w:type="dxa"/>
            <w:shd w:val="clear" w:color="auto" w:fill="auto"/>
          </w:tcPr>
          <w:p w:rsidR="007D4A93" w:rsidRPr="00654E3B" w:rsidRDefault="00EF0BEB" w:rsidP="000C6795">
            <w:pPr>
              <w:pStyle w:val="ListParagraph"/>
              <w:keepNext/>
              <w:numPr>
                <w:ilvl w:val="0"/>
                <w:numId w:val="38"/>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U dužem roku manje radnih mjesta u sektorima vezanim za fosilna goriva</w:t>
            </w:r>
          </w:p>
          <w:p w:rsidR="007D4A93" w:rsidRPr="00654E3B" w:rsidRDefault="00EF0BEB" w:rsidP="000C6795">
            <w:pPr>
              <w:pStyle w:val="ListParagraph"/>
              <w:keepNext/>
              <w:numPr>
                <w:ilvl w:val="0"/>
                <w:numId w:val="38"/>
              </w:numPr>
              <w:ind w:left="340" w:hanging="227"/>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Rizik od energetskog siromaštva uslijed rasta troškova za energiju</w:t>
            </w:r>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t>Ukupne očekivane koristi za društvo (uzimajući u obzir eksterne troškove)</w:t>
      </w:r>
      <w:r w:rsidR="00FC5E82" w:rsidRPr="00654E3B">
        <w:rPr>
          <w:rFonts w:cs="Times New Roman"/>
        </w:rPr>
        <w:t>,</w:t>
      </w:r>
      <w:r w:rsidRPr="00654E3B">
        <w:rPr>
          <w:rFonts w:cs="Times New Roman"/>
        </w:rPr>
        <w:t xml:space="preserve"> su pozitivne i rezultiraju ukupno manjim društvenim troškom. Osnovni izazov provedbe i dinamike promjena je potreba visokih ulaganja</w:t>
      </w:r>
      <w:r w:rsidR="00B95D09" w:rsidRPr="00654E3B">
        <w:rPr>
          <w:rFonts w:cs="Times New Roman"/>
        </w:rPr>
        <w:t>,</w:t>
      </w:r>
      <w:r w:rsidRPr="00654E3B">
        <w:rPr>
          <w:rFonts w:cs="Times New Roman"/>
        </w:rPr>
        <w:t xml:space="preserve"> koja mogu predstavljati značajan izazov za pojedine segmente gospodarstva i/ili kupaca. Ograničavajući čimbenik ubrzane tranzicije može biti sposobnost gospodarstva, društva i pojedinaca da pravovremeno sudjeluju u procesima</w:t>
      </w:r>
      <w:r w:rsidR="00B95D09" w:rsidRPr="00654E3B">
        <w:rPr>
          <w:rFonts w:cs="Times New Roman"/>
        </w:rPr>
        <w:t>,</w:t>
      </w:r>
      <w:r w:rsidRPr="00654E3B">
        <w:rPr>
          <w:rFonts w:cs="Times New Roman"/>
        </w:rPr>
        <w:t xml:space="preserve"> zbog velikih početnih ulaganja, bez obzira što procesi tranzicije donose dugoročnu korist društvu i okolišu.</w:t>
      </w:r>
    </w:p>
    <w:p w:rsidR="007D4A93" w:rsidRPr="00654E3B" w:rsidRDefault="00EF0BEB">
      <w:pPr>
        <w:rPr>
          <w:rFonts w:cs="Times New Roman"/>
        </w:rPr>
      </w:pPr>
      <w:r w:rsidRPr="00654E3B">
        <w:rPr>
          <w:rFonts w:cs="Times New Roman"/>
        </w:rPr>
        <w:t>Za osiguravanje ukupnih neto koristi te istovremenog smanjenja emisija i poticanja gospodarskog razvoja u Republici Hrvatskoj, ključno će biti:</w:t>
      </w:r>
    </w:p>
    <w:p w:rsidR="007D4A93" w:rsidRPr="00654E3B" w:rsidRDefault="00EF0BEB" w:rsidP="000C6795">
      <w:pPr>
        <w:pStyle w:val="ListParagraph"/>
        <w:numPr>
          <w:ilvl w:val="0"/>
          <w:numId w:val="27"/>
        </w:numPr>
        <w:rPr>
          <w:rFonts w:cs="Times New Roman"/>
        </w:rPr>
      </w:pPr>
      <w:r w:rsidRPr="00654E3B">
        <w:rPr>
          <w:rFonts w:cs="Times New Roman"/>
        </w:rPr>
        <w:t>maksimalno iskoristiti raspoloživa sredstva iz EU fondova</w:t>
      </w:r>
      <w:r w:rsidR="00B95D09"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poticanje istraživanja, inovacija, tehnološkog razvoja i sudjelovanja domaće industrije</w:t>
      </w:r>
      <w:r w:rsidR="00B95D09"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obrazovanje i promjene u načinu mišljenja i djelovanja te aktivno uključivanje građana</w:t>
      </w:r>
      <w:r w:rsidR="00B95D09"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inovativnim modelima financiranja maksimizirati učinke dostupnih sredstava.</w:t>
      </w:r>
    </w:p>
    <w:p w:rsidR="00AB40C9" w:rsidRPr="00654E3B" w:rsidRDefault="00EF0BEB">
      <w:pPr>
        <w:spacing w:line="240" w:lineRule="auto"/>
        <w:rPr>
          <w:rFonts w:cs="Times New Roman"/>
          <w:b/>
        </w:rPr>
      </w:pPr>
      <w:r w:rsidRPr="00654E3B">
        <w:rPr>
          <w:rFonts w:cs="Times New Roman"/>
          <w:b/>
        </w:rPr>
        <w:t xml:space="preserve">Niskougljičnim razvojem mogu se ostvariti neto koristi za društvo, ali su za provedbu mjera potrebna dodatna </w:t>
      </w:r>
      <w:r w:rsidR="00BB2664" w:rsidRPr="00654E3B">
        <w:rPr>
          <w:rFonts w:cs="Times New Roman"/>
          <w:b/>
        </w:rPr>
        <w:t xml:space="preserve">EU </w:t>
      </w:r>
      <w:r w:rsidRPr="00654E3B">
        <w:rPr>
          <w:rFonts w:cs="Times New Roman"/>
          <w:b/>
        </w:rPr>
        <w:t>sredstva</w:t>
      </w:r>
      <w:r w:rsidR="00BB2664" w:rsidRPr="00654E3B">
        <w:rPr>
          <w:rFonts w:cs="Times New Roman"/>
          <w:b/>
        </w:rPr>
        <w:t xml:space="preserve">. </w:t>
      </w:r>
    </w:p>
    <w:p w:rsidR="007D4A93" w:rsidRPr="00654E3B" w:rsidRDefault="00EF0BEB" w:rsidP="00286AFC">
      <w:pPr>
        <w:pStyle w:val="Heading1"/>
        <w:ind w:left="705" w:hanging="705"/>
        <w:rPr>
          <w:rFonts w:ascii="Times New Roman" w:hAnsi="Times New Roman" w:cs="Times New Roman"/>
        </w:rPr>
      </w:pPr>
      <w:bookmarkStart w:id="318" w:name="_Toc69810206"/>
      <w:bookmarkStart w:id="319" w:name="_Toc20841320"/>
      <w:bookmarkStart w:id="320" w:name="_Toc20841426"/>
      <w:r w:rsidRPr="00654E3B">
        <w:rPr>
          <w:rFonts w:ascii="Times New Roman" w:hAnsi="Times New Roman" w:cs="Times New Roman"/>
        </w:rPr>
        <w:t xml:space="preserve">9. </w:t>
      </w:r>
      <w:r w:rsidRPr="00654E3B">
        <w:rPr>
          <w:rFonts w:ascii="Times New Roman" w:hAnsi="Times New Roman" w:cs="Times New Roman"/>
        </w:rPr>
        <w:tab/>
        <w:t>OBRAZOVANJE I AKTIVNO UKLJUČIVANJE GRAĐANA U NISKOUGLJIČNI RAZVOJ</w:t>
      </w:r>
      <w:bookmarkEnd w:id="318"/>
      <w:r w:rsidRPr="00654E3B">
        <w:rPr>
          <w:rFonts w:ascii="Times New Roman" w:hAnsi="Times New Roman" w:cs="Times New Roman"/>
        </w:rPr>
        <w:t xml:space="preserve"> </w:t>
      </w:r>
      <w:bookmarkEnd w:id="319"/>
      <w:bookmarkEnd w:id="320"/>
    </w:p>
    <w:p w:rsidR="007D4A93" w:rsidRPr="00654E3B" w:rsidRDefault="007D4A93">
      <w:pPr>
        <w:rPr>
          <w:rFonts w:cs="Times New Roman"/>
        </w:rPr>
      </w:pPr>
    </w:p>
    <w:p w:rsidR="007D4A93" w:rsidRPr="00654E3B" w:rsidRDefault="00EF0BEB">
      <w:pPr>
        <w:spacing w:line="240" w:lineRule="auto"/>
        <w:rPr>
          <w:rFonts w:cs="Times New Roman"/>
          <w:u w:val="single"/>
        </w:rPr>
      </w:pPr>
      <w:r w:rsidRPr="00654E3B">
        <w:rPr>
          <w:rFonts w:cs="Times New Roman"/>
          <w:u w:val="single"/>
        </w:rPr>
        <w:t>Obrazovanje, stjecanje vještina i cjeloživotno učenje po načelima održivog razvoja i niskougljične strategije</w:t>
      </w:r>
    </w:p>
    <w:p w:rsidR="007D4A93" w:rsidRPr="00654E3B" w:rsidRDefault="00EF0BEB">
      <w:pPr>
        <w:pStyle w:val="NormalWeb"/>
        <w:contextualSpacing/>
        <w:rPr>
          <w:rFonts w:eastAsia="Times New Roman" w:cs="Times New Roman"/>
        </w:rPr>
      </w:pPr>
      <w:r w:rsidRPr="00654E3B">
        <w:rPr>
          <w:rFonts w:eastAsia="Times New Roman" w:cs="Times New Roman"/>
        </w:rPr>
        <w:t>Obrazovni sustav treba postati predvodnik u promicanju načela niskougljičnog razvoja</w:t>
      </w:r>
      <w:r w:rsidR="00B95D09" w:rsidRPr="00654E3B">
        <w:rPr>
          <w:rFonts w:eastAsia="Times New Roman" w:cs="Times New Roman"/>
        </w:rPr>
        <w:t>.</w:t>
      </w:r>
      <w:r w:rsidRPr="00654E3B">
        <w:rPr>
          <w:rFonts w:eastAsia="Times New Roman" w:cs="Times New Roman"/>
        </w:rPr>
        <w:t xml:space="preserve"> </w:t>
      </w:r>
      <w:r w:rsidR="00B95D09" w:rsidRPr="00654E3B">
        <w:rPr>
          <w:rFonts w:eastAsia="Times New Roman" w:cs="Times New Roman"/>
        </w:rPr>
        <w:t xml:space="preserve">Mladi </w:t>
      </w:r>
      <w:r w:rsidRPr="00654E3B">
        <w:rPr>
          <w:rFonts w:eastAsia="Times New Roman" w:cs="Times New Roman"/>
        </w:rPr>
        <w:t xml:space="preserve">ljudi koji ulaze u obrazovanje danas, biti će nositelji promjena u budućnosti, bez njihovog znanja i uvjerenja </w:t>
      </w:r>
      <w:r w:rsidRPr="00654E3B">
        <w:rPr>
          <w:rFonts w:eastAsia="Times New Roman" w:cs="Times New Roman"/>
        </w:rPr>
        <w:lastRenderedPageBreak/>
        <w:t xml:space="preserve">ciljevi ove strategije neće se provesti. Stoga je ovo prioritetna aktivnost  Niskougljične strategije, dugoročno važnija od bilo koje mjere tehničkog tipa. </w:t>
      </w:r>
    </w:p>
    <w:p w:rsidR="00EE7A3B" w:rsidRPr="00654E3B" w:rsidRDefault="00EE7A3B">
      <w:pPr>
        <w:pStyle w:val="NormalWeb"/>
        <w:contextualSpacing/>
        <w:rPr>
          <w:rFonts w:eastAsia="Times New Roman" w:cs="Times New Roman"/>
        </w:rPr>
      </w:pPr>
    </w:p>
    <w:p w:rsidR="00EE7A3B" w:rsidRPr="00654E3B" w:rsidRDefault="00EF0BEB">
      <w:pPr>
        <w:pStyle w:val="NormalWeb"/>
        <w:contextualSpacing/>
        <w:rPr>
          <w:rFonts w:eastAsia="Times New Roman" w:cs="Times New Roman"/>
        </w:rPr>
      </w:pPr>
      <w:r w:rsidRPr="00654E3B">
        <w:rPr>
          <w:rFonts w:eastAsia="Times New Roman" w:cs="Times New Roman"/>
        </w:rPr>
        <w:t xml:space="preserve">Prepoznajući važnost osviještenosti o složenim odnosima i povezanostima u ekosustavima i ljudskim zajednicama te </w:t>
      </w:r>
      <w:r w:rsidR="00B95D09" w:rsidRPr="00654E3B">
        <w:rPr>
          <w:rFonts w:eastAsia="Times New Roman" w:cs="Times New Roman"/>
        </w:rPr>
        <w:t xml:space="preserve">potrebe </w:t>
      </w:r>
      <w:r w:rsidRPr="00654E3B">
        <w:rPr>
          <w:rFonts w:eastAsia="Times New Roman" w:cs="Times New Roman"/>
        </w:rPr>
        <w:t>za prikladnim djelovanjem pri korištenju prirodnih resursa i održivom razvoju, Ministarstvo znanosti i obrazovanja donijelo je u siječnju 2019. godine</w:t>
      </w:r>
      <w:r w:rsidR="00B95D09" w:rsidRPr="00654E3B">
        <w:rPr>
          <w:rFonts w:eastAsia="Times New Roman" w:cs="Times New Roman"/>
        </w:rPr>
        <w:t xml:space="preserve">, </w:t>
      </w:r>
      <w:r w:rsidRPr="00654E3B">
        <w:rPr>
          <w:rFonts w:eastAsia="Times New Roman" w:cs="Times New Roman"/>
        </w:rPr>
        <w:t>Odluku o donošenju kurikuluma za međupredmetnu temu Održivi razvoj za osnovne i srednje škole u Republici Hrvatskoj (</w:t>
      </w:r>
      <w:r w:rsidR="001C0429" w:rsidRPr="00654E3B">
        <w:rPr>
          <w:rFonts w:eastAsia="Times New Roman" w:cs="Times New Roman"/>
        </w:rPr>
        <w:t>Narodne novine</w:t>
      </w:r>
      <w:r w:rsidR="00430F83" w:rsidRPr="00654E3B">
        <w:rPr>
          <w:rFonts w:eastAsia="Times New Roman" w:cs="Times New Roman"/>
        </w:rPr>
        <w:t>,</w:t>
      </w:r>
      <w:r w:rsidR="001C0429" w:rsidRPr="00654E3B">
        <w:rPr>
          <w:rFonts w:eastAsia="Times New Roman" w:cs="Times New Roman"/>
        </w:rPr>
        <w:t xml:space="preserve"> broj </w:t>
      </w:r>
      <w:r w:rsidRPr="00654E3B">
        <w:rPr>
          <w:rFonts w:eastAsia="Times New Roman" w:cs="Times New Roman"/>
        </w:rPr>
        <w:t xml:space="preserve">7/19). Od školske godine 2019./2020. poučava se prema novom kurikulumu, a međupredmetna tema Održivi razvoj obuhvaća sve tri dimenzije održivosti: okolišnu, društvenu i ekonomsku te njihovu međuovisnost. Nacionalni kurikulum obrazovnog sustava promiče održivi razvoj, cjelovitost, integralni pristup, inovativnost, plansku dugoročnost, razumijevanje društvene odgovornosti i međunarodnu solidarnost. </w:t>
      </w:r>
    </w:p>
    <w:p w:rsidR="007D4A93" w:rsidRPr="00654E3B" w:rsidRDefault="00EF0BEB">
      <w:pPr>
        <w:pStyle w:val="NormalWeb"/>
        <w:contextualSpacing/>
        <w:rPr>
          <w:rFonts w:eastAsia="Times New Roman" w:cs="Times New Roman"/>
        </w:rPr>
      </w:pPr>
      <w:r w:rsidRPr="00654E3B">
        <w:rPr>
          <w:rFonts w:eastAsia="Times New Roman" w:cs="Times New Roman"/>
        </w:rPr>
        <w:t xml:space="preserve"> </w:t>
      </w:r>
    </w:p>
    <w:p w:rsidR="007D4A93" w:rsidRPr="00654E3B" w:rsidRDefault="00EF0BEB">
      <w:pPr>
        <w:pStyle w:val="NormalWeb"/>
        <w:contextualSpacing/>
        <w:rPr>
          <w:rFonts w:eastAsia="Times New Roman" w:cs="Times New Roman"/>
        </w:rPr>
      </w:pPr>
      <w:r w:rsidRPr="00654E3B">
        <w:rPr>
          <w:rFonts w:eastAsia="Times New Roman" w:cs="Times New Roman"/>
        </w:rPr>
        <w:t>Nadalje je potrebno razvijati znanja i vještine za razvoj, primjenu i transfer novih tehnologija i pametnih rješenja, s orijentacijom na gospodarske grane koje se brzo razvijaju u smjeru kružnog gospodarstva i zelene ekonomije.</w:t>
      </w:r>
    </w:p>
    <w:p w:rsidR="00EE7A3B" w:rsidRPr="00654E3B" w:rsidRDefault="00EE7A3B">
      <w:pPr>
        <w:pStyle w:val="NormalWeb"/>
        <w:contextualSpacing/>
        <w:rPr>
          <w:rFonts w:eastAsia="Times New Roman" w:cs="Times New Roman"/>
        </w:rPr>
      </w:pPr>
    </w:p>
    <w:p w:rsidR="007D4A93" w:rsidRPr="00654E3B" w:rsidRDefault="00EF0BEB">
      <w:pPr>
        <w:pStyle w:val="NormalWeb"/>
        <w:contextualSpacing/>
        <w:rPr>
          <w:rFonts w:eastAsia="Times New Roman" w:cs="Times New Roman"/>
        </w:rPr>
      </w:pPr>
      <w:r w:rsidRPr="00654E3B">
        <w:rPr>
          <w:rFonts w:eastAsia="Times New Roman" w:cs="Times New Roman"/>
        </w:rPr>
        <w:t xml:space="preserve">Inicijacija sustavnog podizanja znanja o konceptu održivog razvoja i </w:t>
      </w:r>
      <w:r w:rsidR="00AD2DF6" w:rsidRPr="00654E3B">
        <w:rPr>
          <w:rFonts w:eastAsia="Times New Roman" w:cs="Times New Roman"/>
        </w:rPr>
        <w:t>svijesti</w:t>
      </w:r>
      <w:r w:rsidRPr="00654E3B">
        <w:rPr>
          <w:rFonts w:eastAsia="Times New Roman" w:cs="Times New Roman"/>
        </w:rPr>
        <w:t xml:space="preserve"> o klimatskim promjenama treba se odvijati kroz: </w:t>
      </w:r>
    </w:p>
    <w:p w:rsidR="007D4A93" w:rsidRPr="00654E3B" w:rsidRDefault="00EF0BEB" w:rsidP="000C6795">
      <w:pPr>
        <w:pStyle w:val="ListParagraph"/>
        <w:numPr>
          <w:ilvl w:val="0"/>
          <w:numId w:val="27"/>
        </w:numPr>
        <w:rPr>
          <w:rFonts w:cs="Times New Roman"/>
        </w:rPr>
      </w:pPr>
      <w:r w:rsidRPr="00654E3B">
        <w:rPr>
          <w:rFonts w:cs="Times New Roman"/>
        </w:rPr>
        <w:t>kontinuirano unapređivanje razine obrazovanja o održivom razvoju i pitanjima klimatskih promjena u redovitom obrazovnom sustavu (osnovna škola, srednja škola, više i visoke škole i fakulteti)</w:t>
      </w:r>
      <w:r w:rsidR="00B95D09" w:rsidRPr="00654E3B">
        <w:rPr>
          <w:rFonts w:cs="Times New Roman"/>
        </w:rPr>
        <w:t>;</w:t>
      </w:r>
    </w:p>
    <w:p w:rsidR="007D4A93" w:rsidRPr="00654E3B" w:rsidRDefault="00EF0BEB" w:rsidP="000C6795">
      <w:pPr>
        <w:pStyle w:val="ListParagraph"/>
        <w:numPr>
          <w:ilvl w:val="0"/>
          <w:numId w:val="55"/>
        </w:numPr>
        <w:rPr>
          <w:rFonts w:cs="Times New Roman"/>
        </w:rPr>
      </w:pPr>
      <w:r w:rsidRPr="00654E3B">
        <w:rPr>
          <w:rFonts w:cs="Times New Roman"/>
        </w:rPr>
        <w:t>prilagodba srednjoškolskih i visokoškolskih obrazovnih programa učenju potrebnom za s</w:t>
      </w:r>
      <w:r w:rsidR="00B95D09" w:rsidRPr="00654E3B">
        <w:rPr>
          <w:rFonts w:cs="Times New Roman"/>
        </w:rPr>
        <w:t>a</w:t>
      </w:r>
      <w:r w:rsidRPr="00654E3B">
        <w:rPr>
          <w:rFonts w:cs="Times New Roman"/>
        </w:rPr>
        <w:t>vladavanje znanja i vještina povezanih s niskougljičnim gospodarstvom i pametnom specijalizacijom</w:t>
      </w:r>
      <w:r w:rsidR="00B95D09"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cjeloživotno učenje putem medija (novine, televizija i Internet) o načelima Niskougljične strategije koje će obrazovati sve ljude, sve stanovnike Hrvatske koji više nisu u procesu institucionalnog obrazovanja Republike Hrvatske</w:t>
      </w:r>
      <w:r w:rsidR="00B64585"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 xml:space="preserve">razvoj aplikacijskih alata za izračunavanje i praćenje ekološkog otiska, ugljičnog otiska, za mlade, za njihove aktivnosti, za obrazovne institucije, kućanstva, prijevoz. Organizacije aktivnosti koje doprinose smanjenju ugljičnog otiska, natjecanja, testnih primjera </w:t>
      </w:r>
      <w:r w:rsidR="00B64585" w:rsidRPr="00654E3B">
        <w:rPr>
          <w:rFonts w:cs="Times New Roman"/>
        </w:rPr>
        <w:t xml:space="preserve">uključivanja </w:t>
      </w:r>
      <w:r w:rsidRPr="00654E3B">
        <w:rPr>
          <w:rFonts w:cs="Times New Roman"/>
        </w:rPr>
        <w:t>u kampanje, itd.</w:t>
      </w:r>
      <w:r w:rsidR="00B64585" w:rsidRPr="00654E3B">
        <w:rPr>
          <w:rFonts w:cs="Times New Roman"/>
        </w:rPr>
        <w:t>;</w:t>
      </w:r>
    </w:p>
    <w:p w:rsidR="007D4A93" w:rsidRPr="00654E3B" w:rsidRDefault="00EF0BEB" w:rsidP="000C6795">
      <w:pPr>
        <w:pStyle w:val="ListParagraph"/>
        <w:numPr>
          <w:ilvl w:val="0"/>
          <w:numId w:val="27"/>
        </w:numPr>
        <w:rPr>
          <w:rFonts w:cs="Times New Roman"/>
        </w:rPr>
      </w:pPr>
      <w:r w:rsidRPr="00654E3B">
        <w:rPr>
          <w:rFonts w:cs="Times New Roman"/>
        </w:rPr>
        <w:t>podršku razvoju centara obrazovne izvrsnosti, podršk</w:t>
      </w:r>
      <w:r w:rsidR="00E15BBD" w:rsidRPr="00654E3B">
        <w:rPr>
          <w:rFonts w:cs="Times New Roman"/>
        </w:rPr>
        <w:t>u</w:t>
      </w:r>
      <w:r w:rsidRPr="00654E3B">
        <w:rPr>
          <w:rFonts w:cs="Times New Roman"/>
        </w:rPr>
        <w:t xml:space="preserve"> razvoju tehnoloških demonstracijskih parkova, laboratorija, 'životnih laboratorija' kao što su sveučilišni kampusi. Oni bi trebali biti pokazni primjeri cjelovitog osmišljavanja prostora za rad i život, na kojima zajedno rade urbanisti, energetičari, prometna struka, obrazovanje, stručnjaci prirodnih i humanističkih struka, a temeljeno na primjeni naprednih tehnologija i inovativnih niskougljičnih rješenja. </w:t>
      </w:r>
    </w:p>
    <w:p w:rsidR="007D4A93" w:rsidRPr="00654E3B" w:rsidRDefault="00EF0BEB">
      <w:pPr>
        <w:pStyle w:val="NormalWeb"/>
        <w:contextualSpacing/>
        <w:rPr>
          <w:rFonts w:cs="Times New Roman"/>
          <w:lang w:eastAsia="hr-HR"/>
        </w:rPr>
      </w:pPr>
      <w:r w:rsidRPr="00654E3B">
        <w:rPr>
          <w:rFonts w:cs="Times New Roman"/>
        </w:rPr>
        <w:t>U razdoblju od 2021. do 2030. godine</w:t>
      </w:r>
      <w:r w:rsidR="00B64585" w:rsidRPr="00654E3B">
        <w:rPr>
          <w:rFonts w:cs="Times New Roman"/>
        </w:rPr>
        <w:t>,</w:t>
      </w:r>
      <w:r w:rsidRPr="00654E3B">
        <w:rPr>
          <w:rFonts w:cs="Times New Roman"/>
        </w:rPr>
        <w:t xml:space="preserve"> podizanje razine obrazovanja o održivom razvoju i klimatskim promjenama u Republici Hrvatskoj će se dopunjavati i modernizirati u hodu, te stvarati generacije građana Republike Hrvatske koji će biti cjelovito i sustavno „klimatski </w:t>
      </w:r>
      <w:r w:rsidR="005D2CB6" w:rsidRPr="00654E3B">
        <w:rPr>
          <w:rFonts w:cs="Times New Roman"/>
        </w:rPr>
        <w:t>osviješćeni</w:t>
      </w:r>
      <w:r w:rsidRPr="00654E3B">
        <w:rPr>
          <w:rFonts w:cs="Times New Roman"/>
        </w:rPr>
        <w:t>“. Moderni medijski kanali informiranja (televizija i društvene mreže)</w:t>
      </w:r>
      <w:r w:rsidR="00B64585" w:rsidRPr="00654E3B">
        <w:rPr>
          <w:rFonts w:cs="Times New Roman"/>
        </w:rPr>
        <w:t>,</w:t>
      </w:r>
      <w:r w:rsidRPr="00654E3B">
        <w:rPr>
          <w:rFonts w:cs="Times New Roman"/>
        </w:rPr>
        <w:t xml:space="preserve"> kao brzi i atraktivni prenositelji informacija i spoznaja biti će pri tome izuzetno važni. U tom razdoblju doći će do </w:t>
      </w:r>
      <w:r w:rsidRPr="00654E3B">
        <w:rPr>
          <w:rFonts w:cs="Times New Roman"/>
          <w:lang w:eastAsia="hr-HR"/>
        </w:rPr>
        <w:t>osnivanja prvih centara izvrsnosti i tehnoloških parkova, početak realizacije oglednih sveučilišnih kampusa i primjera nove prakse.</w:t>
      </w:r>
    </w:p>
    <w:p w:rsidR="007D4A93" w:rsidRPr="00654E3B" w:rsidRDefault="005D2CB6" w:rsidP="00286AFC">
      <w:pPr>
        <w:rPr>
          <w:rFonts w:cs="Times New Roman"/>
        </w:rPr>
      </w:pPr>
      <w:r w:rsidRPr="00654E3B">
        <w:rPr>
          <w:rFonts w:cs="Times New Roman"/>
        </w:rPr>
        <w:t>Stoga bi Nacionalni plan razvoja sustava obrazovanja za razdoblje od 2021. do 2027. godine</w:t>
      </w:r>
      <w:r w:rsidR="00B64585" w:rsidRPr="00654E3B">
        <w:rPr>
          <w:rFonts w:cs="Times New Roman"/>
        </w:rPr>
        <w:t>,</w:t>
      </w:r>
      <w:r w:rsidRPr="00654E3B">
        <w:rPr>
          <w:rFonts w:cs="Times New Roman"/>
        </w:rPr>
        <w:t xml:space="preserve"> </w:t>
      </w:r>
      <w:r w:rsidR="00EF0BEB" w:rsidRPr="00654E3B">
        <w:rPr>
          <w:rFonts w:cs="Times New Roman"/>
        </w:rPr>
        <w:t>treb</w:t>
      </w:r>
      <w:r w:rsidRPr="00654E3B">
        <w:rPr>
          <w:rFonts w:cs="Times New Roman"/>
        </w:rPr>
        <w:t>ao</w:t>
      </w:r>
      <w:r w:rsidR="00EF0BEB" w:rsidRPr="00654E3B">
        <w:rPr>
          <w:rFonts w:cs="Times New Roman"/>
        </w:rPr>
        <w:t xml:space="preserve"> biti orijentiran izgradnji znanja i razvoju tehnologija koji </w:t>
      </w:r>
      <w:r w:rsidRPr="00654E3B">
        <w:rPr>
          <w:rFonts w:cs="Times New Roman"/>
        </w:rPr>
        <w:t>ć</w:t>
      </w:r>
      <w:r w:rsidR="00EF0BEB" w:rsidRPr="00654E3B">
        <w:rPr>
          <w:rFonts w:cs="Times New Roman"/>
        </w:rPr>
        <w:t>e omogućiti tranziciju prema nisk</w:t>
      </w:r>
      <w:r w:rsidRPr="00654E3B">
        <w:rPr>
          <w:rFonts w:cs="Times New Roman"/>
        </w:rPr>
        <w:t>o</w:t>
      </w:r>
      <w:r w:rsidR="00EF0BEB" w:rsidRPr="00654E3B">
        <w:rPr>
          <w:rFonts w:cs="Times New Roman"/>
        </w:rPr>
        <w:t>ugljičnom gospodarstvu i društvu otpornom na klimatske promjene.</w:t>
      </w:r>
    </w:p>
    <w:p w:rsidR="007D4A93" w:rsidRPr="00654E3B" w:rsidRDefault="00EF0BEB">
      <w:pPr>
        <w:rPr>
          <w:rFonts w:cs="Times New Roman"/>
          <w:u w:val="single"/>
        </w:rPr>
      </w:pPr>
      <w:r w:rsidRPr="00654E3B">
        <w:rPr>
          <w:rFonts w:cs="Times New Roman"/>
          <w:u w:val="single"/>
        </w:rPr>
        <w:t xml:space="preserve">Promjena sociološkog poimanja i obrazaca ponašanja  </w:t>
      </w:r>
    </w:p>
    <w:p w:rsidR="007D4A93" w:rsidRPr="00654E3B" w:rsidRDefault="00EF0BEB">
      <w:pPr>
        <w:pStyle w:val="NormalWeb"/>
        <w:rPr>
          <w:rFonts w:cs="Times New Roman"/>
        </w:rPr>
      </w:pPr>
      <w:r w:rsidRPr="00654E3B">
        <w:rPr>
          <w:rFonts w:cs="Times New Roman"/>
        </w:rPr>
        <w:t xml:space="preserve">Problem klimatskih promjena je u posljednjih petnaestak godina sporo, ali konačno ušao u javni obzor hrvatskog društva. Daljnja afirmacija ove teme ovisi u značajnoj mjeri o </w:t>
      </w:r>
      <w:r w:rsidR="00B64585" w:rsidRPr="00654E3B">
        <w:rPr>
          <w:rFonts w:cs="Times New Roman"/>
        </w:rPr>
        <w:t xml:space="preserve">učinkovitoj realizaciji </w:t>
      </w:r>
      <w:r w:rsidRPr="00654E3B">
        <w:rPr>
          <w:rFonts w:cs="Times New Roman"/>
        </w:rPr>
        <w:t xml:space="preserve">Niskougljične strategije u praksi. Do današnjih dana je na dijelu bila u prosjeku građanstva niska </w:t>
      </w:r>
      <w:r w:rsidR="00E15BBD" w:rsidRPr="00654E3B">
        <w:rPr>
          <w:rFonts w:cs="Times New Roman"/>
        </w:rPr>
        <w:t xml:space="preserve">osviještenost za </w:t>
      </w:r>
      <w:r w:rsidRPr="00654E3B">
        <w:rPr>
          <w:rFonts w:cs="Times New Roman"/>
        </w:rPr>
        <w:t>klimatska pi</w:t>
      </w:r>
      <w:r w:rsidR="00E15BBD" w:rsidRPr="00654E3B">
        <w:rPr>
          <w:rFonts w:cs="Times New Roman"/>
        </w:rPr>
        <w:t>tanja</w:t>
      </w:r>
      <w:r w:rsidRPr="00654E3B">
        <w:rPr>
          <w:rFonts w:cs="Times New Roman"/>
        </w:rPr>
        <w:t>, pasivnost u spoznaji problema i neadekvatno, interno, pretežno - svjesno ili nesvjesno - visoko-ugljično ponašanje.</w:t>
      </w:r>
    </w:p>
    <w:p w:rsidR="007D4A93" w:rsidRPr="00654E3B" w:rsidRDefault="00EF0BEB">
      <w:pPr>
        <w:pStyle w:val="NormalWeb"/>
        <w:rPr>
          <w:rFonts w:eastAsia="Times New Roman" w:cs="Times New Roman"/>
        </w:rPr>
      </w:pPr>
      <w:r w:rsidRPr="00654E3B">
        <w:rPr>
          <w:rFonts w:cs="Times New Roman"/>
        </w:rPr>
        <w:lastRenderedPageBreak/>
        <w:t>Pod utjecajem rastućih negativnih posljedica klimatskih promjena diljem svijeta</w:t>
      </w:r>
      <w:r w:rsidR="00B64585" w:rsidRPr="00654E3B">
        <w:rPr>
          <w:rFonts w:cs="Times New Roman"/>
        </w:rPr>
        <w:t>,</w:t>
      </w:r>
      <w:r w:rsidRPr="00654E3B">
        <w:rPr>
          <w:rFonts w:cs="Times New Roman"/>
        </w:rPr>
        <w:t xml:space="preserve"> dolazi do promjene poimanja i obrazaca ponašanja građana i svih aktera koji donose razvojne odluke u smjeru razvoja Republike Hrvatske kao niskougljičnog društva. Promjene se izravno </w:t>
      </w:r>
      <w:r w:rsidR="005D2CB6" w:rsidRPr="00654E3B">
        <w:rPr>
          <w:rFonts w:cs="Times New Roman"/>
        </w:rPr>
        <w:t>nadovezuju</w:t>
      </w:r>
      <w:r w:rsidRPr="00654E3B">
        <w:rPr>
          <w:rFonts w:cs="Times New Roman"/>
        </w:rPr>
        <w:t xml:space="preserve"> na sustavno i kvalitetno obrazovanje i osvješćivanje mladih i </w:t>
      </w:r>
      <w:r w:rsidR="00535D01" w:rsidRPr="00654E3B">
        <w:rPr>
          <w:rFonts w:cs="Times New Roman"/>
        </w:rPr>
        <w:t xml:space="preserve">ostalih </w:t>
      </w:r>
      <w:r w:rsidRPr="00654E3B">
        <w:rPr>
          <w:rFonts w:cs="Times New Roman"/>
        </w:rPr>
        <w:t>građana Republike Hrvatske o klimatskim promjenama</w:t>
      </w:r>
      <w:r w:rsidR="00535D01" w:rsidRPr="00654E3B">
        <w:rPr>
          <w:rFonts w:cs="Times New Roman"/>
        </w:rPr>
        <w:t>,</w:t>
      </w:r>
      <w:r w:rsidRPr="00654E3B">
        <w:rPr>
          <w:rFonts w:cs="Times New Roman"/>
        </w:rPr>
        <w:t xml:space="preserve"> čemu doprinosi i svijest o rastućim utjecajima negativnih posljedica klimatskih promjena u Hrvatskoj i diljem svijeta. Pri tome je korištenje iskustva razvijenih europskih</w:t>
      </w:r>
      <w:r w:rsidRPr="00654E3B">
        <w:rPr>
          <w:rFonts w:eastAsia="Times New Roman" w:cs="Times New Roman"/>
        </w:rPr>
        <w:t xml:space="preserve"> zemalja koje prednjače u procesu klimatskog </w:t>
      </w:r>
      <w:r w:rsidR="005D2CB6" w:rsidRPr="00654E3B">
        <w:rPr>
          <w:rFonts w:eastAsia="Times New Roman" w:cs="Times New Roman"/>
        </w:rPr>
        <w:t xml:space="preserve">osvješćivanja </w:t>
      </w:r>
      <w:r w:rsidRPr="00654E3B">
        <w:rPr>
          <w:rFonts w:eastAsia="Times New Roman" w:cs="Times New Roman"/>
        </w:rPr>
        <w:t>od značajne koristi.</w:t>
      </w:r>
    </w:p>
    <w:p w:rsidR="007D4A93" w:rsidRPr="00654E3B" w:rsidRDefault="00EF0BEB">
      <w:pPr>
        <w:rPr>
          <w:rFonts w:cs="Times New Roman"/>
        </w:rPr>
      </w:pPr>
      <w:r w:rsidRPr="00654E3B">
        <w:rPr>
          <w:rFonts w:cs="Times New Roman"/>
        </w:rPr>
        <w:t>U razdoblju do 2030. godine</w:t>
      </w:r>
      <w:r w:rsidR="00535D01" w:rsidRPr="00654E3B">
        <w:rPr>
          <w:rFonts w:cs="Times New Roman"/>
        </w:rPr>
        <w:t>,</w:t>
      </w:r>
      <w:r w:rsidRPr="00654E3B">
        <w:rPr>
          <w:rFonts w:cs="Times New Roman"/>
        </w:rPr>
        <w:t xml:space="preserve"> previđa se </w:t>
      </w:r>
      <w:r w:rsidR="00535D01" w:rsidRPr="00654E3B">
        <w:rPr>
          <w:rFonts w:cs="Times New Roman"/>
        </w:rPr>
        <w:t xml:space="preserve">brža </w:t>
      </w:r>
      <w:r w:rsidRPr="00654E3B">
        <w:rPr>
          <w:rFonts w:cs="Times New Roman"/>
        </w:rPr>
        <w:t>promjena načina poimanja i obrazaca ponašanja u smjeru Republike Hrvatske kao niskougljičnog društva. Procesi u europskom okruženju te svijetu biti će dodatno globalizirani i slični. S jedne strane, sustavno će rasti osviještenost za klimatska pitanja, s druge strane će se trebati obrazovati za nove vještine koje će moći odgovoriti izazovima tranzicije prema niskougljičnom razvoju, a s treće</w:t>
      </w:r>
      <w:r w:rsidR="00535D01" w:rsidRPr="00654E3B">
        <w:rPr>
          <w:rFonts w:cs="Times New Roman"/>
        </w:rPr>
        <w:t>,</w:t>
      </w:r>
      <w:r w:rsidRPr="00654E3B">
        <w:rPr>
          <w:rFonts w:cs="Times New Roman"/>
        </w:rPr>
        <w:t xml:space="preserve"> obrasci ponašanja će se mijenjati primjenom </w:t>
      </w:r>
      <w:r w:rsidR="005D2CB6" w:rsidRPr="00654E3B">
        <w:rPr>
          <w:rFonts w:cs="Times New Roman"/>
        </w:rPr>
        <w:t>n</w:t>
      </w:r>
      <w:r w:rsidRPr="00654E3B">
        <w:rPr>
          <w:rFonts w:cs="Times New Roman"/>
        </w:rPr>
        <w:t>iskougljičnih praktičnih rješenja u organizaciji društvenog života, pro</w:t>
      </w:r>
      <w:r w:rsidR="000F5374" w:rsidRPr="00654E3B">
        <w:rPr>
          <w:rFonts w:cs="Times New Roman"/>
        </w:rPr>
        <w:t>izvodn</w:t>
      </w:r>
      <w:r w:rsidRPr="00654E3B">
        <w:rPr>
          <w:rFonts w:cs="Times New Roman"/>
        </w:rPr>
        <w:t>je, potrošnje i upravljanja razvojem u smjeru porasta održivosti.</w:t>
      </w:r>
    </w:p>
    <w:p w:rsidR="007D4A93" w:rsidRPr="00654E3B" w:rsidRDefault="00EF0BEB">
      <w:pPr>
        <w:pStyle w:val="Heading1"/>
        <w:rPr>
          <w:rFonts w:ascii="Times New Roman" w:hAnsi="Times New Roman" w:cs="Times New Roman"/>
        </w:rPr>
      </w:pPr>
      <w:bookmarkStart w:id="321" w:name="_Toc69810207"/>
      <w:bookmarkStart w:id="322" w:name="_Toc20841319"/>
      <w:bookmarkStart w:id="323" w:name="_Toc20841425"/>
      <w:r w:rsidRPr="00654E3B">
        <w:rPr>
          <w:rFonts w:ascii="Times New Roman" w:hAnsi="Times New Roman" w:cs="Times New Roman"/>
        </w:rPr>
        <w:t>10.</w:t>
      </w:r>
      <w:r w:rsidRPr="00654E3B">
        <w:rPr>
          <w:rFonts w:ascii="Times New Roman" w:hAnsi="Times New Roman" w:cs="Times New Roman"/>
        </w:rPr>
        <w:tab/>
        <w:t>ISTRAŽIVANJA, TEHNOLOŠKI RAZVOJ I INOVACIJE</w:t>
      </w:r>
      <w:bookmarkEnd w:id="321"/>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Niskougljični razvoj je potrebno integrirati u programe poticanja inovacija, istraživanja i razvoja visokih tehnologija u privatnom i javnom sektoru. Republika Hrvatska zaostaje u financiranju istraživanja, razvoja i inovacija za drugim državama EU, koji je na razini oko</w:t>
      </w:r>
      <w:r w:rsidR="003B2515" w:rsidRPr="00654E3B">
        <w:rPr>
          <w:rFonts w:cs="Times New Roman"/>
        </w:rPr>
        <w:t xml:space="preserve"> ili preko</w:t>
      </w:r>
      <w:r w:rsidRPr="00654E3B">
        <w:rPr>
          <w:rFonts w:cs="Times New Roman"/>
        </w:rPr>
        <w:t xml:space="preserve"> 3</w:t>
      </w:r>
      <w:r w:rsidR="00060992" w:rsidRPr="00654E3B">
        <w:rPr>
          <w:rFonts w:cs="Times New Roman"/>
        </w:rPr>
        <w:t xml:space="preserve"> %</w:t>
      </w:r>
      <w:r w:rsidRPr="00654E3B">
        <w:rPr>
          <w:rFonts w:cs="Times New Roman"/>
        </w:rPr>
        <w:t xml:space="preserve"> BDP-a. </w:t>
      </w:r>
      <w:r w:rsidR="003B2515" w:rsidRPr="00654E3B">
        <w:rPr>
          <w:rFonts w:cs="Times New Roman"/>
        </w:rPr>
        <w:t>U Republici Hrvatskoj u 2018. godini na istraživačko-razvojnu djelatnost utrošeno je 3,7 milijardi kuna, što je za 17,8</w:t>
      </w:r>
      <w:r w:rsidR="00060992" w:rsidRPr="00654E3B">
        <w:rPr>
          <w:rFonts w:cs="Times New Roman"/>
        </w:rPr>
        <w:t xml:space="preserve"> %</w:t>
      </w:r>
      <w:r w:rsidR="003B2515" w:rsidRPr="00654E3B">
        <w:rPr>
          <w:rFonts w:cs="Times New Roman"/>
        </w:rPr>
        <w:t xml:space="preserve"> više u odnosu na prethodnu godinu, no udio izdataka za istraživanje i razvoj </w:t>
      </w:r>
      <w:r w:rsidR="00757219" w:rsidRPr="00654E3B">
        <w:rPr>
          <w:rFonts w:cs="Times New Roman"/>
        </w:rPr>
        <w:t xml:space="preserve">u </w:t>
      </w:r>
      <w:r w:rsidR="003B2515" w:rsidRPr="00654E3B">
        <w:rPr>
          <w:rFonts w:cs="Times New Roman"/>
        </w:rPr>
        <w:t xml:space="preserve">BDP-u u 2018. </w:t>
      </w:r>
      <w:r w:rsidR="00757219" w:rsidRPr="00654E3B">
        <w:rPr>
          <w:rFonts w:cs="Times New Roman"/>
        </w:rPr>
        <w:t xml:space="preserve">godini </w:t>
      </w:r>
      <w:r w:rsidR="003B2515" w:rsidRPr="00654E3B">
        <w:rPr>
          <w:rFonts w:cs="Times New Roman"/>
        </w:rPr>
        <w:t>iznosio je 0,97</w:t>
      </w:r>
      <w:r w:rsidR="00060992" w:rsidRPr="00654E3B">
        <w:rPr>
          <w:rFonts w:cs="Times New Roman"/>
        </w:rPr>
        <w:t xml:space="preserve"> %</w:t>
      </w:r>
      <w:r w:rsidR="00757219" w:rsidRPr="00654E3B">
        <w:rPr>
          <w:rFonts w:cs="Times New Roman"/>
        </w:rPr>
        <w:t xml:space="preserve">. </w:t>
      </w:r>
      <w:r w:rsidR="003B2515" w:rsidRPr="00654E3B">
        <w:rPr>
          <w:rFonts w:cs="Times New Roman"/>
        </w:rPr>
        <w:t>U Republici Hrvatskoj u 2019. godini na istraživačko- razvojnu djelatnost utrošeno je 4,5 milijarde kuna što je za 19,7</w:t>
      </w:r>
      <w:r w:rsidR="00060992" w:rsidRPr="00654E3B">
        <w:rPr>
          <w:rFonts w:cs="Times New Roman"/>
        </w:rPr>
        <w:t xml:space="preserve"> %</w:t>
      </w:r>
      <w:r w:rsidR="003B2515" w:rsidRPr="00654E3B">
        <w:rPr>
          <w:rFonts w:cs="Times New Roman"/>
        </w:rPr>
        <w:t xml:space="preserve"> više u odnosu na prethodnu godinu, no udio izdataka za istraživanje i razvoj u BDP-u u 2019. godini iznosio </w:t>
      </w:r>
      <w:r w:rsidR="00757219" w:rsidRPr="00654E3B">
        <w:rPr>
          <w:rFonts w:cs="Times New Roman"/>
        </w:rPr>
        <w:t xml:space="preserve">je </w:t>
      </w:r>
      <w:r w:rsidR="003B2515" w:rsidRPr="00654E3B">
        <w:rPr>
          <w:rFonts w:cs="Times New Roman"/>
        </w:rPr>
        <w:t>1,11</w:t>
      </w:r>
      <w:r w:rsidR="00060992" w:rsidRPr="00654E3B">
        <w:rPr>
          <w:rFonts w:cs="Times New Roman"/>
        </w:rPr>
        <w:t xml:space="preserve"> %</w:t>
      </w:r>
      <w:r w:rsidR="00757219" w:rsidRPr="00654E3B">
        <w:rPr>
          <w:rFonts w:cs="Times New Roman"/>
        </w:rPr>
        <w:t>.</w:t>
      </w:r>
      <w:r w:rsidRPr="00654E3B">
        <w:rPr>
          <w:rFonts w:cs="Times New Roman"/>
        </w:rPr>
        <w:t xml:space="preserve"> Istraživanje i razvoj su među najvećim potencijalnim faktorima doprinosa rastu BDP-a, odmah nakon povećanja zaposlenosti, stoga je u Hrvatskoj potrebno povećanje izdataka za istraživanje i razvoj, bliže prosječnoj razini EU-a.</w:t>
      </w:r>
    </w:p>
    <w:p w:rsidR="007D4A93" w:rsidRPr="00654E3B" w:rsidRDefault="00EF0BEB">
      <w:pPr>
        <w:rPr>
          <w:rFonts w:cs="Times New Roman"/>
        </w:rPr>
      </w:pPr>
      <w:r w:rsidRPr="00654E3B">
        <w:rPr>
          <w:rFonts w:cs="Times New Roman"/>
        </w:rPr>
        <w:t>U Strategiji pametne specijalizacije Republike Hrvatske za razdoblje do 2020. godine, definirane su uz pet tematskih prioritetnih područja dvije horizontalne teme koje predstavljaju međusektorske tehnologije i procese i služe kao pokretači rasta unutar tematskih prioritetnih područja, a to su tzv. ključne razvojne tehnologije i informacijsko-komunikacijska tehnologija. Ključne razvojne tehnologije</w:t>
      </w:r>
      <w:r w:rsidR="00E00F6E" w:rsidRPr="00654E3B">
        <w:rPr>
          <w:rFonts w:cs="Times New Roman"/>
        </w:rPr>
        <w:t>,</w:t>
      </w:r>
      <w:r w:rsidRPr="00654E3B">
        <w:rPr>
          <w:rFonts w:cs="Times New Roman"/>
        </w:rPr>
        <w:t xml:space="preserve"> omogućuju prijelaz s tradicionalnog gospodarstva na gospodarstvo s niskom emisijom ugljika</w:t>
      </w:r>
      <w:r w:rsidR="00E00F6E" w:rsidRPr="00654E3B">
        <w:rPr>
          <w:rFonts w:cs="Times New Roman"/>
        </w:rPr>
        <w:t>,</w:t>
      </w:r>
      <w:r w:rsidRPr="00654E3B">
        <w:rPr>
          <w:rFonts w:cs="Times New Roman"/>
        </w:rPr>
        <w:t xml:space="preserve"> temeljeno na znanju. One imaju važnu ulogu u razvoju, inovaciji i jačanju konkurentnosti industrije, a uključuju biotehnologiju, mikro i nano-elektroniku i fotoniku te druge napredne materijale i tehnologije. Budući da je Strategija pametne specijalizacije jedan od temeljnih strateških dokumenata u području tehnološkog razvoja i inovacija, ovime su stvorene početne pretpostavke za tranziciju u niskougljično gospodarstvo i za uključivanje u ovaj proces</w:t>
      </w:r>
      <w:r w:rsidR="00E00F6E" w:rsidRPr="00654E3B">
        <w:rPr>
          <w:rFonts w:cs="Times New Roman"/>
        </w:rPr>
        <w:t>,</w:t>
      </w:r>
      <w:r w:rsidRPr="00654E3B">
        <w:rPr>
          <w:rFonts w:cs="Times New Roman"/>
        </w:rPr>
        <w:t xml:space="preserve"> institucija nadležnih za podršku poslovnim ulaganjima u istraživanje, razvoj i inovacije.</w:t>
      </w:r>
    </w:p>
    <w:p w:rsidR="009059EA" w:rsidRPr="00654E3B" w:rsidRDefault="009059EA">
      <w:pPr>
        <w:rPr>
          <w:rFonts w:cs="Times New Roman"/>
        </w:rPr>
      </w:pPr>
      <w:r w:rsidRPr="00654E3B">
        <w:rPr>
          <w:rFonts w:cs="Times New Roman"/>
        </w:rPr>
        <w:t>Novi okvirni program EU za istraživanje i inovacije za razdoblje 2021-2027, Obzor Europa</w:t>
      </w:r>
      <w:r w:rsidR="00E00F6E" w:rsidRPr="00654E3B">
        <w:rPr>
          <w:rFonts w:cs="Times New Roman"/>
        </w:rPr>
        <w:t>,</w:t>
      </w:r>
      <w:r w:rsidRPr="00654E3B">
        <w:rPr>
          <w:rFonts w:cs="Times New Roman"/>
        </w:rPr>
        <w:t xml:space="preserve"> igra ključnu ulogu u oblikovanju, potpori i provedbi prioriteta europske politike, uključujući Europski zeleni plan, kojem istraživanje i inovacije trebaju horizontalno </w:t>
      </w:r>
      <w:r w:rsidR="00B2469E" w:rsidRPr="00654E3B">
        <w:rPr>
          <w:rFonts w:cs="Times New Roman"/>
        </w:rPr>
        <w:t>doprinijeti</w:t>
      </w:r>
      <w:r w:rsidRPr="00654E3B">
        <w:rPr>
          <w:rFonts w:cs="Times New Roman"/>
        </w:rPr>
        <w:t>. Predviđeno je da će više od 35</w:t>
      </w:r>
      <w:r w:rsidR="00060992" w:rsidRPr="00654E3B">
        <w:rPr>
          <w:rFonts w:cs="Times New Roman"/>
        </w:rPr>
        <w:t xml:space="preserve"> %</w:t>
      </w:r>
      <w:r w:rsidRPr="00654E3B">
        <w:rPr>
          <w:rFonts w:cs="Times New Roman"/>
        </w:rPr>
        <w:t xml:space="preserve"> ukupnih sredstava unutar Obzor Europa doprinijeti ostvarivanju ciljeva zelenog plana. U skladu s ovim određenjem EU</w:t>
      </w:r>
      <w:r w:rsidR="00E00F6E" w:rsidRPr="00654E3B">
        <w:rPr>
          <w:rFonts w:cs="Times New Roman"/>
        </w:rPr>
        <w:t>,</w:t>
      </w:r>
      <w:r w:rsidRPr="00654E3B">
        <w:rPr>
          <w:rFonts w:cs="Times New Roman"/>
        </w:rPr>
        <w:t xml:space="preserve"> predlaže</w:t>
      </w:r>
      <w:r w:rsidR="000F5374" w:rsidRPr="00654E3B">
        <w:rPr>
          <w:rFonts w:cs="Times New Roman"/>
        </w:rPr>
        <w:t xml:space="preserve"> se</w:t>
      </w:r>
      <w:r w:rsidRPr="00654E3B">
        <w:rPr>
          <w:rFonts w:cs="Times New Roman"/>
        </w:rPr>
        <w:t xml:space="preserve"> da 30</w:t>
      </w:r>
      <w:r w:rsidR="00060992" w:rsidRPr="00654E3B">
        <w:rPr>
          <w:rFonts w:cs="Times New Roman"/>
        </w:rPr>
        <w:t xml:space="preserve"> %</w:t>
      </w:r>
      <w:r w:rsidRPr="00654E3B">
        <w:rPr>
          <w:rFonts w:cs="Times New Roman"/>
        </w:rPr>
        <w:t xml:space="preserve"> svih nacionalnih ulaganja u znanost u Republici </w:t>
      </w:r>
      <w:r w:rsidR="004F43C3" w:rsidRPr="00654E3B">
        <w:rPr>
          <w:rFonts w:cs="Times New Roman"/>
        </w:rPr>
        <w:t>Hrvatskoj mora biti vezano uz “</w:t>
      </w:r>
      <w:r w:rsidRPr="00654E3B">
        <w:rPr>
          <w:rFonts w:cs="Times New Roman"/>
        </w:rPr>
        <w:t>zelena istraživanja“, odnosno uz istraživanja koja doprinose ostvarivanja ciljeva Europskog zelenog plana</w:t>
      </w:r>
      <w:r w:rsidR="0061628D" w:rsidRPr="00654E3B">
        <w:rPr>
          <w:rFonts w:cs="Times New Roman"/>
        </w:rPr>
        <w:t>.</w:t>
      </w:r>
    </w:p>
    <w:p w:rsidR="007D4A93" w:rsidRPr="00654E3B" w:rsidRDefault="00EF0BEB">
      <w:pPr>
        <w:rPr>
          <w:rFonts w:cs="Times New Roman"/>
        </w:rPr>
      </w:pPr>
      <w:r w:rsidRPr="00654E3B">
        <w:rPr>
          <w:rFonts w:cs="Times New Roman"/>
        </w:rPr>
        <w:t>Neke od specifičnih mjera za niskougljični tehnološki razvoj, inovacije i istraživanja mogu biti:</w:t>
      </w:r>
    </w:p>
    <w:p w:rsidR="007D4A93" w:rsidRPr="00654E3B" w:rsidRDefault="00EF0BEB" w:rsidP="000C6795">
      <w:pPr>
        <w:pStyle w:val="ListParagraph"/>
        <w:numPr>
          <w:ilvl w:val="0"/>
          <w:numId w:val="16"/>
        </w:numPr>
        <w:rPr>
          <w:rFonts w:cs="Times New Roman"/>
        </w:rPr>
      </w:pPr>
      <w:r w:rsidRPr="00654E3B">
        <w:rPr>
          <w:rFonts w:cs="Times New Roman"/>
        </w:rPr>
        <w:t>sufinanciranje projekata industrijskog istraživanja i eksperimentalnog razvoja usklađenih sa Strategijom pametne specijalizacije i Niskougljičnom strategijom</w:t>
      </w:r>
    </w:p>
    <w:p w:rsidR="007D4A93" w:rsidRPr="00654E3B" w:rsidRDefault="00EF0BEB" w:rsidP="000C6795">
      <w:pPr>
        <w:pStyle w:val="ListParagraph"/>
        <w:numPr>
          <w:ilvl w:val="0"/>
          <w:numId w:val="16"/>
        </w:numPr>
        <w:rPr>
          <w:rFonts w:cs="Times New Roman"/>
        </w:rPr>
      </w:pPr>
      <w:r w:rsidRPr="00654E3B">
        <w:rPr>
          <w:rFonts w:cs="Times New Roman"/>
        </w:rPr>
        <w:t>sufinanciranje razvoja poduzetništva na području pametne specijalizacije i niskougljičnog gospodarstva</w:t>
      </w:r>
    </w:p>
    <w:p w:rsidR="007D4A93" w:rsidRPr="00654E3B" w:rsidRDefault="00EF0BEB" w:rsidP="000C6795">
      <w:pPr>
        <w:pStyle w:val="ListParagraph"/>
        <w:numPr>
          <w:ilvl w:val="0"/>
          <w:numId w:val="16"/>
        </w:numPr>
        <w:rPr>
          <w:rFonts w:cs="Times New Roman"/>
        </w:rPr>
      </w:pPr>
      <w:r w:rsidRPr="00654E3B">
        <w:rPr>
          <w:rFonts w:cs="Times New Roman"/>
        </w:rPr>
        <w:lastRenderedPageBreak/>
        <w:t>omogućavanje stjecanja domaćih referenci putem modela zajedničkog razvoja s javnim sektorom</w:t>
      </w:r>
    </w:p>
    <w:p w:rsidR="007D4A93" w:rsidRPr="00654E3B" w:rsidRDefault="00EF0BEB" w:rsidP="000C6795">
      <w:pPr>
        <w:pStyle w:val="ListParagraph"/>
        <w:numPr>
          <w:ilvl w:val="0"/>
          <w:numId w:val="16"/>
        </w:numPr>
        <w:rPr>
          <w:rFonts w:cs="Times New Roman"/>
        </w:rPr>
      </w:pPr>
      <w:r w:rsidRPr="00654E3B">
        <w:rPr>
          <w:rFonts w:cs="Times New Roman"/>
        </w:rPr>
        <w:t>raspoznavanje teme klimatskih promjena kao interdisciplinarno polje znanosti pri utvrđivanju kriterija i uvjeta za stjecanje znanstvenog statusa pravnih i fizičkih osoba.</w:t>
      </w:r>
    </w:p>
    <w:p w:rsidR="007D4A93" w:rsidRPr="00654E3B" w:rsidRDefault="00EF0BEB">
      <w:pPr>
        <w:rPr>
          <w:rFonts w:cs="Times New Roman"/>
        </w:rPr>
      </w:pPr>
      <w:r w:rsidRPr="00654E3B">
        <w:rPr>
          <w:rFonts w:cs="Times New Roman"/>
        </w:rPr>
        <w:t>Istraživanja su potrebna po sljedećim temama:</w:t>
      </w:r>
    </w:p>
    <w:p w:rsidR="007D4A93" w:rsidRPr="00654E3B" w:rsidRDefault="00EF0BEB" w:rsidP="000C6795">
      <w:pPr>
        <w:pStyle w:val="ListParagraph"/>
        <w:numPr>
          <w:ilvl w:val="0"/>
          <w:numId w:val="17"/>
        </w:numPr>
        <w:rPr>
          <w:rFonts w:cs="Times New Roman"/>
        </w:rPr>
      </w:pPr>
      <w:r w:rsidRPr="00654E3B">
        <w:rPr>
          <w:rFonts w:cs="Times New Roman"/>
        </w:rPr>
        <w:t>razvoj modela, metoda za integralno upravljanje ugljikom, za unapređenje proračuna emisija/</w:t>
      </w:r>
      <w:r w:rsidR="00BF4CA8" w:rsidRPr="00654E3B">
        <w:rPr>
          <w:rFonts w:cs="Times New Roman"/>
        </w:rPr>
        <w:t>ponora</w:t>
      </w:r>
      <w:r w:rsidRPr="00654E3B">
        <w:rPr>
          <w:rFonts w:cs="Times New Roman"/>
        </w:rPr>
        <w:t>, za projekcije emisija/</w:t>
      </w:r>
      <w:r w:rsidR="00BF4CA8" w:rsidRPr="00654E3B">
        <w:rPr>
          <w:rFonts w:cs="Times New Roman"/>
        </w:rPr>
        <w:t>ponora</w:t>
      </w:r>
      <w:r w:rsidRPr="00654E3B">
        <w:rPr>
          <w:rFonts w:cs="Times New Roman"/>
        </w:rPr>
        <w:t>, za primjenu proračuna po metodi ukupnog životnog ciklusa</w:t>
      </w:r>
    </w:p>
    <w:p w:rsidR="007D4A93" w:rsidRPr="00654E3B" w:rsidRDefault="00EF0BEB" w:rsidP="000C6795">
      <w:pPr>
        <w:pStyle w:val="ListParagraph"/>
        <w:numPr>
          <w:ilvl w:val="0"/>
          <w:numId w:val="17"/>
        </w:numPr>
        <w:rPr>
          <w:rFonts w:cs="Times New Roman"/>
        </w:rPr>
      </w:pPr>
      <w:r w:rsidRPr="00654E3B">
        <w:rPr>
          <w:rFonts w:cs="Times New Roman"/>
        </w:rPr>
        <w:t xml:space="preserve">istraživanje tehnologija, tehničkih i ne-tehničkih mjera za smanjenje emisija i povećanje </w:t>
      </w:r>
      <w:r w:rsidR="00BF4CA8" w:rsidRPr="00654E3B">
        <w:rPr>
          <w:rFonts w:cs="Times New Roman"/>
        </w:rPr>
        <w:t>ponora</w:t>
      </w:r>
      <w:r w:rsidRPr="00654E3B">
        <w:rPr>
          <w:rFonts w:cs="Times New Roman"/>
        </w:rPr>
        <w:t xml:space="preserve"> u svim sektorima (energetika, promet, poljoprivreda, šumarstvo, otpad i industrijski procesi)</w:t>
      </w:r>
    </w:p>
    <w:p w:rsidR="007D4A93" w:rsidRPr="00654E3B" w:rsidRDefault="00EF0BEB" w:rsidP="000C6795">
      <w:pPr>
        <w:pStyle w:val="ListParagraph"/>
        <w:numPr>
          <w:ilvl w:val="0"/>
          <w:numId w:val="17"/>
        </w:numPr>
        <w:rPr>
          <w:rFonts w:cs="Times New Roman"/>
        </w:rPr>
      </w:pPr>
      <w:r w:rsidRPr="00654E3B">
        <w:rPr>
          <w:rFonts w:cs="Times New Roman"/>
        </w:rPr>
        <w:t>istraživanja mogućnosti korištenja, načina skladištenja, transporta i geološkog skladištenja CO</w:t>
      </w:r>
      <w:r w:rsidRPr="00654E3B">
        <w:rPr>
          <w:rFonts w:cs="Times New Roman"/>
          <w:vertAlign w:val="subscript"/>
        </w:rPr>
        <w:t>2</w:t>
      </w:r>
    </w:p>
    <w:p w:rsidR="007D4A93" w:rsidRPr="00654E3B" w:rsidRDefault="00EF0BEB" w:rsidP="000C6795">
      <w:pPr>
        <w:pStyle w:val="ListParagraph"/>
        <w:numPr>
          <w:ilvl w:val="0"/>
          <w:numId w:val="18"/>
        </w:numPr>
        <w:rPr>
          <w:rFonts w:cs="Times New Roman"/>
        </w:rPr>
      </w:pPr>
      <w:r w:rsidRPr="00654E3B">
        <w:rPr>
          <w:rFonts w:cs="Times New Roman"/>
        </w:rPr>
        <w:t>istraživanja poveznica između ublažavanja klimatskih promjena i prilagodbe klimatskim promjenama, te interakcije s ostalim sastavnicama okoliša</w:t>
      </w:r>
    </w:p>
    <w:p w:rsidR="007D4A93" w:rsidRPr="00654E3B" w:rsidRDefault="00EF0BEB" w:rsidP="000C6795">
      <w:pPr>
        <w:pStyle w:val="ListParagraph"/>
        <w:numPr>
          <w:ilvl w:val="0"/>
          <w:numId w:val="18"/>
        </w:numPr>
        <w:rPr>
          <w:rFonts w:cs="Times New Roman"/>
        </w:rPr>
      </w:pPr>
      <w:r w:rsidRPr="00654E3B">
        <w:rPr>
          <w:rFonts w:cs="Times New Roman"/>
        </w:rPr>
        <w:t>razvoj integralnih modela procjene učinaka politika i mjera za ublažavanje klimatskih promjena na gospodarstvo, društvo i okoliš</w:t>
      </w:r>
    </w:p>
    <w:p w:rsidR="007D4A93" w:rsidRPr="00654E3B" w:rsidRDefault="00EF0BEB" w:rsidP="000C6795">
      <w:pPr>
        <w:pStyle w:val="ListParagraph"/>
        <w:numPr>
          <w:ilvl w:val="0"/>
          <w:numId w:val="18"/>
        </w:numPr>
        <w:rPr>
          <w:rFonts w:cs="Times New Roman"/>
        </w:rPr>
      </w:pPr>
      <w:r w:rsidRPr="00654E3B">
        <w:rPr>
          <w:rFonts w:cs="Times New Roman"/>
        </w:rPr>
        <w:t>istraživanja socioloških aspekata klimatskih promjena, razvoj modela i metoda promidžbe i podizanja javne svijesti o klimatskim promjenama</w:t>
      </w:r>
    </w:p>
    <w:p w:rsidR="007D4A93" w:rsidRPr="00654E3B" w:rsidRDefault="00EF0BEB" w:rsidP="000C6795">
      <w:pPr>
        <w:pStyle w:val="ListParagraph"/>
        <w:numPr>
          <w:ilvl w:val="0"/>
          <w:numId w:val="18"/>
        </w:numPr>
        <w:rPr>
          <w:rFonts w:cs="Times New Roman"/>
        </w:rPr>
      </w:pPr>
      <w:r w:rsidRPr="00654E3B">
        <w:rPr>
          <w:rFonts w:cs="Times New Roman"/>
        </w:rPr>
        <w:t>istraživanja u cilju unapređenja sustava obrazovanja, pametnih specijalizacija i životnog obrazovanja kao dijela odgovora na izazov ublažavanja klimatskih promjena</w:t>
      </w:r>
    </w:p>
    <w:p w:rsidR="007D4A93" w:rsidRPr="00654E3B" w:rsidRDefault="00EF0BEB" w:rsidP="000C6795">
      <w:pPr>
        <w:pStyle w:val="ListParagraph"/>
        <w:numPr>
          <w:ilvl w:val="0"/>
          <w:numId w:val="18"/>
        </w:numPr>
        <w:rPr>
          <w:rFonts w:cs="Times New Roman"/>
        </w:rPr>
      </w:pPr>
      <w:r w:rsidRPr="00654E3B">
        <w:rPr>
          <w:rFonts w:cs="Times New Roman"/>
        </w:rPr>
        <w:t xml:space="preserve">istraživanja modela financiranja, posebice mogućih modela javno privatnog partnerstva  </w:t>
      </w:r>
    </w:p>
    <w:p w:rsidR="007D4A93" w:rsidRPr="00654E3B" w:rsidRDefault="00EF0BEB" w:rsidP="000C6795">
      <w:pPr>
        <w:pStyle w:val="ListParagraph"/>
        <w:numPr>
          <w:ilvl w:val="0"/>
          <w:numId w:val="18"/>
        </w:numPr>
        <w:rPr>
          <w:rFonts w:cs="Times New Roman"/>
        </w:rPr>
      </w:pPr>
      <w:r w:rsidRPr="00654E3B">
        <w:rPr>
          <w:rFonts w:cs="Times New Roman"/>
        </w:rPr>
        <w:t>istraživanja potencijala biomase, bioplina, sintetskog plina i vodika dobivenog iz otpada, proizvodnje biomase, bioplina, sintetskog plina i vodika, korištenja biomase i s tim u vezi socio-gospodarskih aspekata</w:t>
      </w:r>
    </w:p>
    <w:p w:rsidR="007D4A93" w:rsidRPr="00654E3B" w:rsidRDefault="00EF0BEB" w:rsidP="000C6795">
      <w:pPr>
        <w:pStyle w:val="ListParagraph"/>
        <w:numPr>
          <w:ilvl w:val="0"/>
          <w:numId w:val="18"/>
        </w:numPr>
        <w:rPr>
          <w:rFonts w:cs="Times New Roman"/>
        </w:rPr>
      </w:pPr>
      <w:r w:rsidRPr="00654E3B">
        <w:rPr>
          <w:rFonts w:cs="Times New Roman"/>
        </w:rPr>
        <w:t>istraživanja potencijala obnovljivih izvora energije, troškovi i koristi njihove upotrebe, njihovog utjecaja na okoliš, prirodu i ekološku mrežu</w:t>
      </w:r>
    </w:p>
    <w:p w:rsidR="007D4A93" w:rsidRPr="00654E3B" w:rsidRDefault="00EF0BEB" w:rsidP="000C6795">
      <w:pPr>
        <w:pStyle w:val="ListParagraph"/>
        <w:numPr>
          <w:ilvl w:val="0"/>
          <w:numId w:val="18"/>
        </w:numPr>
        <w:rPr>
          <w:rFonts w:cs="Times New Roman"/>
        </w:rPr>
      </w:pPr>
      <w:r w:rsidRPr="00654E3B">
        <w:rPr>
          <w:rFonts w:cs="Times New Roman"/>
        </w:rPr>
        <w:t>istraživanje tehnologije i potencijala u proizvodnji sintetskog metana i vodika u procesu dekarbonizacije prirodnog plina</w:t>
      </w:r>
    </w:p>
    <w:p w:rsidR="007D4A93" w:rsidRPr="00654E3B" w:rsidRDefault="00EF0BEB" w:rsidP="000C6795">
      <w:pPr>
        <w:pStyle w:val="ListParagraph"/>
        <w:numPr>
          <w:ilvl w:val="0"/>
          <w:numId w:val="18"/>
        </w:numPr>
        <w:rPr>
          <w:rFonts w:cs="Times New Roman"/>
        </w:rPr>
      </w:pPr>
      <w:r w:rsidRPr="00654E3B">
        <w:rPr>
          <w:rFonts w:cs="Times New Roman"/>
        </w:rPr>
        <w:t>studije integralnih rješenja, energetske učinkovitosti, obnovljivih izvora energije u svim sektorima, optimizacijski modeli za pametne gradove, zelene gradove i urbanu infrastrukturu</w:t>
      </w:r>
      <w:r w:rsidR="00E00F6E" w:rsidRPr="00654E3B">
        <w:rPr>
          <w:rFonts w:cs="Times New Roman"/>
        </w:rPr>
        <w:t>;</w:t>
      </w:r>
    </w:p>
    <w:p w:rsidR="007D4A93" w:rsidRPr="00654E3B" w:rsidRDefault="00EF0BEB" w:rsidP="000C6795">
      <w:pPr>
        <w:pStyle w:val="ListParagraph"/>
        <w:numPr>
          <w:ilvl w:val="0"/>
          <w:numId w:val="18"/>
        </w:numPr>
        <w:rPr>
          <w:rFonts w:cs="Times New Roman"/>
        </w:rPr>
      </w:pPr>
      <w:r w:rsidRPr="00654E3B">
        <w:rPr>
          <w:rFonts w:cs="Times New Roman"/>
        </w:rPr>
        <w:t>istraživanja naprednih mreža i pametnih sustava</w:t>
      </w:r>
    </w:p>
    <w:p w:rsidR="007D4A93" w:rsidRPr="00654E3B" w:rsidRDefault="00EF0BEB" w:rsidP="000C6795">
      <w:pPr>
        <w:pStyle w:val="ListParagraph"/>
        <w:numPr>
          <w:ilvl w:val="0"/>
          <w:numId w:val="18"/>
        </w:numPr>
        <w:rPr>
          <w:rFonts w:cs="Times New Roman"/>
        </w:rPr>
      </w:pPr>
      <w:r w:rsidRPr="00654E3B">
        <w:rPr>
          <w:rFonts w:cs="Times New Roman"/>
        </w:rPr>
        <w:t>razvoj koncepata i planiranja pametnih gradova</w:t>
      </w:r>
    </w:p>
    <w:p w:rsidR="007D4A93" w:rsidRPr="00654E3B" w:rsidRDefault="00EF0BEB" w:rsidP="000C6795">
      <w:pPr>
        <w:pStyle w:val="ListParagraph"/>
        <w:numPr>
          <w:ilvl w:val="0"/>
          <w:numId w:val="19"/>
        </w:numPr>
        <w:rPr>
          <w:rFonts w:cs="Times New Roman"/>
        </w:rPr>
      </w:pPr>
      <w:r w:rsidRPr="00654E3B">
        <w:rPr>
          <w:rFonts w:cs="Times New Roman"/>
        </w:rPr>
        <w:t>istraživanja vezano za izgradnju kružnog gospodarstva, uvođenje sustava upravljanja korištenjem resursa, energije i ugljičnog otiska</w:t>
      </w:r>
    </w:p>
    <w:p w:rsidR="007D4A93" w:rsidRPr="00654E3B" w:rsidRDefault="00EF0BEB" w:rsidP="000C6795">
      <w:pPr>
        <w:pStyle w:val="ListParagraph"/>
        <w:numPr>
          <w:ilvl w:val="0"/>
          <w:numId w:val="19"/>
        </w:numPr>
        <w:rPr>
          <w:rFonts w:cs="Times New Roman"/>
        </w:rPr>
      </w:pPr>
      <w:r w:rsidRPr="00654E3B">
        <w:rPr>
          <w:rFonts w:cs="Times New Roman"/>
        </w:rPr>
        <w:t>istraživanja održive mobilnosti u gradovima, kooperativnih, inteligentnih i automatiziranih rješenja u prometu</w:t>
      </w:r>
    </w:p>
    <w:p w:rsidR="007D4A93" w:rsidRPr="00654E3B" w:rsidRDefault="00EF0BEB" w:rsidP="000C6795">
      <w:pPr>
        <w:pStyle w:val="ListParagraph"/>
        <w:numPr>
          <w:ilvl w:val="0"/>
          <w:numId w:val="19"/>
        </w:numPr>
        <w:rPr>
          <w:rFonts w:cs="Times New Roman"/>
        </w:rPr>
      </w:pPr>
      <w:r w:rsidRPr="00654E3B">
        <w:rPr>
          <w:rFonts w:cs="Times New Roman"/>
        </w:rPr>
        <w:t>istraživanja o mogućnostima povećanja pohrane ugljika na poljoprivrednom zemljištu i mogućih inovativnih mjera u stočarstvu.</w:t>
      </w:r>
    </w:p>
    <w:p w:rsidR="007D4A93" w:rsidRPr="00654E3B" w:rsidRDefault="00EF0BEB">
      <w:pPr>
        <w:rPr>
          <w:rFonts w:cs="Times New Roman"/>
        </w:rPr>
      </w:pPr>
      <w:r w:rsidRPr="00654E3B">
        <w:rPr>
          <w:rFonts w:cs="Times New Roman"/>
        </w:rPr>
        <w:t>Osobiti tehnološki napredak očekuje se u primjeni ICT tehnologija u svim sektorima, osobito s velikim učinkom u energetici i prometu. Odlučujuću ulogu će imati razvoj sustava za pohranu energije, infrastruktura za električna vozila i baterije, autonomni sustavi u raznim sektorima i robotika.</w:t>
      </w:r>
    </w:p>
    <w:p w:rsidR="007D4A93" w:rsidRPr="00654E3B" w:rsidRDefault="00EF0BEB">
      <w:pPr>
        <w:rPr>
          <w:rFonts w:cs="Times New Roman"/>
        </w:rPr>
      </w:pPr>
      <w:r w:rsidRPr="00654E3B">
        <w:rPr>
          <w:rFonts w:cs="Times New Roman"/>
        </w:rPr>
        <w:t>Potrebna je financijska podrška svim projektima koji se apliciraju za Obzor Europa i LIFE program, kojima se povećava znanje potrebno za stvaranje zelenog i konkurentnog gospodarstva s niskim udjelom ugljika u kojem će se učinkovitije koristiti resursi</w:t>
      </w:r>
      <w:r w:rsidR="0061628D" w:rsidRPr="00654E3B">
        <w:rPr>
          <w:rFonts w:cs="Times New Roman"/>
        </w:rPr>
        <w:t>.</w:t>
      </w:r>
    </w:p>
    <w:p w:rsidR="0061628D" w:rsidRPr="00654E3B" w:rsidRDefault="00EF0BEB">
      <w:pPr>
        <w:rPr>
          <w:rFonts w:cs="Times New Roman"/>
        </w:rPr>
      </w:pPr>
      <w:r w:rsidRPr="00654E3B">
        <w:rPr>
          <w:rFonts w:cs="Times New Roman"/>
        </w:rPr>
        <w:t>Kao i u proteklom razdoblju, i dalje će glavni izvor financiranja biti ESI fondovi i sredstva prikupljena na dražbi emisijskih jedinica CO</w:t>
      </w:r>
      <w:r w:rsidRPr="00654E3B">
        <w:rPr>
          <w:rFonts w:cs="Times New Roman"/>
          <w:vertAlign w:val="subscript"/>
        </w:rPr>
        <w:t>2</w:t>
      </w:r>
      <w:r w:rsidR="00B634F3" w:rsidRPr="00654E3B">
        <w:rPr>
          <w:rFonts w:cs="Times New Roman"/>
        </w:rPr>
        <w:t>.</w:t>
      </w:r>
      <w:r w:rsidRPr="00654E3B">
        <w:rPr>
          <w:rFonts w:cs="Times New Roman"/>
        </w:rPr>
        <w:t xml:space="preserve"> </w:t>
      </w:r>
      <w:r w:rsidR="0061628D" w:rsidRPr="00654E3B">
        <w:rPr>
          <w:rFonts w:cs="Times New Roman"/>
        </w:rPr>
        <w:t xml:space="preserve">Početne pretpostavke za tranziciju u niskougljično gospodarstvo postavljene su donošenjem Strategije pametne specijalizacije Republike Hrvatske, a glavni dio sredstava za provedbu Strategije osigurava se iz Europskih strukturnih i investicijskih fondova. </w:t>
      </w:r>
      <w:r w:rsidRPr="00654E3B">
        <w:rPr>
          <w:rFonts w:cs="Times New Roman"/>
        </w:rPr>
        <w:t>Uz to, dostupan izvor financiranja bit će i sredstva iz ETS-a namijenjena za modernizaciju te financijski mehanizam za potporu inovacijama za razdoblje od 2021. do 2030. godine, u deset država članica EU čiji je BDP po stanovniku prema tržišnim cijenama bio niži od 60</w:t>
      </w:r>
      <w:r w:rsidR="00060992" w:rsidRPr="00654E3B">
        <w:rPr>
          <w:rFonts w:cs="Times New Roman"/>
        </w:rPr>
        <w:t xml:space="preserve"> %</w:t>
      </w:r>
      <w:r w:rsidRPr="00654E3B">
        <w:rPr>
          <w:rFonts w:cs="Times New Roman"/>
        </w:rPr>
        <w:t xml:space="preserve"> prosjeka EU, u koje spada i Republika Hrvatska. Europski zeleni plan raspoznaje nužnost osiguranja dodatnih sredstava za istraživanje, tehnološki razvoj i inovacije.</w:t>
      </w:r>
      <w:r w:rsidR="0061628D" w:rsidRPr="00654E3B">
        <w:rPr>
          <w:rFonts w:cs="Times New Roman"/>
        </w:rPr>
        <w:t xml:space="preserve"> Država će povećati ulaganje u istraživanje, razvoj i inovacije te ulaganje u transfer znanja i </w:t>
      </w:r>
      <w:r w:rsidR="0061628D" w:rsidRPr="00654E3B">
        <w:rPr>
          <w:rFonts w:cs="Times New Roman"/>
        </w:rPr>
        <w:lastRenderedPageBreak/>
        <w:t>tehnologija i razvoj na znanju i inovacijama utemeljenih tehnologija</w:t>
      </w:r>
      <w:r w:rsidR="00E00F6E" w:rsidRPr="00654E3B">
        <w:rPr>
          <w:rFonts w:cs="Times New Roman"/>
        </w:rPr>
        <w:t>,</w:t>
      </w:r>
      <w:r w:rsidR="0061628D" w:rsidRPr="00654E3B">
        <w:rPr>
          <w:rFonts w:cs="Times New Roman"/>
        </w:rPr>
        <w:t xml:space="preserve"> putem različitih programa</w:t>
      </w:r>
      <w:r w:rsidR="00E00F6E" w:rsidRPr="00654E3B">
        <w:rPr>
          <w:rFonts w:cs="Times New Roman"/>
        </w:rPr>
        <w:t>,</w:t>
      </w:r>
      <w:r w:rsidR="0061628D" w:rsidRPr="00654E3B">
        <w:rPr>
          <w:rFonts w:cs="Times New Roman"/>
        </w:rPr>
        <w:t xml:space="preserve"> od bespovratnih sredstva, preko uvjetnih zajmova do programa državnih potpora. </w:t>
      </w:r>
    </w:p>
    <w:p w:rsidR="007D4A93" w:rsidRPr="00654E3B" w:rsidRDefault="00EF0BEB">
      <w:pPr>
        <w:pStyle w:val="Heading1"/>
        <w:rPr>
          <w:rFonts w:ascii="Times New Roman" w:hAnsi="Times New Roman" w:cs="Times New Roman"/>
        </w:rPr>
      </w:pPr>
      <w:bookmarkStart w:id="324" w:name="_Toc69810208"/>
      <w:r w:rsidRPr="00654E3B">
        <w:rPr>
          <w:rFonts w:ascii="Times New Roman" w:hAnsi="Times New Roman" w:cs="Times New Roman"/>
        </w:rPr>
        <w:t>11.</w:t>
      </w:r>
      <w:r w:rsidRPr="00654E3B">
        <w:rPr>
          <w:rFonts w:ascii="Times New Roman" w:hAnsi="Times New Roman" w:cs="Times New Roman"/>
        </w:rPr>
        <w:tab/>
        <w:t>NISKOUGLJIČNI RAZVOJ NA LOKALNOJ I REGIONALNOJ RAZINI</w:t>
      </w:r>
      <w:bookmarkEnd w:id="322"/>
      <w:bookmarkEnd w:id="323"/>
      <w:bookmarkEnd w:id="324"/>
    </w:p>
    <w:p w:rsidR="007D4A93" w:rsidRPr="00654E3B" w:rsidRDefault="007D4A93">
      <w:pPr>
        <w:rPr>
          <w:rFonts w:cs="Times New Roman"/>
        </w:rPr>
      </w:pPr>
    </w:p>
    <w:p w:rsidR="007D4A93" w:rsidRPr="00654E3B" w:rsidRDefault="00EF0BEB">
      <w:pPr>
        <w:rPr>
          <w:rFonts w:cs="Times New Roman"/>
        </w:rPr>
      </w:pPr>
      <w:r w:rsidRPr="00654E3B">
        <w:rPr>
          <w:rFonts w:cs="Times New Roman"/>
        </w:rPr>
        <w:t>Gradovi sve više postaju središta odvijanja gospodarskih i društvenih aktivnosti kao posljedica kontinuirane urbanizacije i rastućeg trenda tranzicije društava u gospodarstva intenzivne primjene znanja. Kao posljedica ovih promjena u gradovima raste potrošnja resursa, što neizbježno dovodi i do porasta emisije.</w:t>
      </w:r>
    </w:p>
    <w:p w:rsidR="007D4A93" w:rsidRPr="00654E3B" w:rsidRDefault="00EF0BEB">
      <w:pPr>
        <w:rPr>
          <w:rFonts w:cs="Times New Roman"/>
        </w:rPr>
      </w:pPr>
      <w:r w:rsidRPr="00654E3B">
        <w:rPr>
          <w:rFonts w:cs="Times New Roman"/>
        </w:rPr>
        <w:t>U nastavku daje se prikaz instrumenata politike ublažavanja klimatskih promjena na lokalnoj i regionalnoj razini.</w:t>
      </w:r>
    </w:p>
    <w:p w:rsidR="007D4A93" w:rsidRPr="00654E3B" w:rsidRDefault="00EF0BEB">
      <w:pPr>
        <w:rPr>
          <w:rFonts w:cs="Times New Roman"/>
          <w:u w:val="single"/>
        </w:rPr>
      </w:pPr>
      <w:r w:rsidRPr="00654E3B">
        <w:rPr>
          <w:rFonts w:cs="Times New Roman"/>
          <w:u w:val="single"/>
        </w:rPr>
        <w:t>Prostorni i urbanistički planovi</w:t>
      </w:r>
    </w:p>
    <w:p w:rsidR="007D4A93" w:rsidRPr="00654E3B" w:rsidRDefault="00EF0BEB">
      <w:pPr>
        <w:rPr>
          <w:rFonts w:cs="Times New Roman"/>
        </w:rPr>
      </w:pPr>
      <w:r w:rsidRPr="00654E3B">
        <w:rPr>
          <w:rFonts w:cs="Times New Roman"/>
        </w:rPr>
        <w:t>Jedan od najvažnijih instrumenata za provođenje klimatskih politika je prostorno i urbanističko planiranje s obzirom da prostorni planovi imaju snagu i pravnu prirodu podzakonskog propisa. Načelo integralnog pristupa prostornom planiranju</w:t>
      </w:r>
      <w:r w:rsidR="00E31826" w:rsidRPr="00654E3B">
        <w:rPr>
          <w:rFonts w:cs="Times New Roman"/>
        </w:rPr>
        <w:t>,</w:t>
      </w:r>
      <w:r w:rsidRPr="00654E3B">
        <w:rPr>
          <w:rFonts w:cs="Times New Roman"/>
        </w:rPr>
        <w:t xml:space="preserve"> jedino osigurava optimalan sinergijski efekt sektorskih politika i mjera niskougljičnog razvoja u cilju smanjenja emisija. Planerska paradigma usmjerena prema niskougljičnom odnosno bezugljičnom razvoju i dekarbonizaciji je polazište za novu generaciju prostornih planova.</w:t>
      </w:r>
    </w:p>
    <w:p w:rsidR="007D4A93" w:rsidRPr="00654E3B" w:rsidRDefault="00EF0BEB">
      <w:pPr>
        <w:rPr>
          <w:rFonts w:cs="Times New Roman"/>
          <w:u w:val="single"/>
        </w:rPr>
      </w:pPr>
      <w:r w:rsidRPr="00654E3B">
        <w:rPr>
          <w:rFonts w:cs="Times New Roman"/>
          <w:u w:val="single"/>
        </w:rPr>
        <w:t>Pametni gradovi</w:t>
      </w:r>
    </w:p>
    <w:p w:rsidR="007D4A93" w:rsidRPr="00654E3B" w:rsidRDefault="00EF0BEB">
      <w:pPr>
        <w:rPr>
          <w:rFonts w:cs="Times New Roman"/>
        </w:rPr>
      </w:pPr>
      <w:r w:rsidRPr="00654E3B">
        <w:rPr>
          <w:rFonts w:cs="Times New Roman"/>
        </w:rPr>
        <w:t>Smanjenju emisija stakleničkih plinova na lokalnoj razini treba doprinijeti i realizacija koncepta „pametnih gradova“. Koncept se odnosi na primjenu integriranih tehnoloških rješenja kojima se omogućuje općenito veća kvaliteta javne usluge građanima, bolje iskorištenje resursa i manji utjecaj na okoliš u gradovima. Ulaganja u razvoj informacijsko-komunikacijskih tehnologija na području EU</w:t>
      </w:r>
      <w:r w:rsidR="00E31826" w:rsidRPr="00654E3B">
        <w:rPr>
          <w:rFonts w:cs="Times New Roman"/>
        </w:rPr>
        <w:t>,</w:t>
      </w:r>
      <w:r w:rsidRPr="00654E3B">
        <w:rPr>
          <w:rFonts w:cs="Times New Roman"/>
        </w:rPr>
        <w:t xml:space="preserve"> u tom smislu su između ostaloga postavljeni u funkciju ispunjavanja ciljeva klimatsko-energetskog paketa.</w:t>
      </w:r>
    </w:p>
    <w:p w:rsidR="007D4A93" w:rsidRPr="00654E3B" w:rsidRDefault="00EF0BEB">
      <w:pPr>
        <w:rPr>
          <w:rFonts w:cs="Times New Roman"/>
        </w:rPr>
      </w:pPr>
      <w:r w:rsidRPr="00654E3B">
        <w:rPr>
          <w:rFonts w:cs="Times New Roman"/>
        </w:rPr>
        <w:t>U namjeri da ubrza primjenu ovih tehnologija, Europska komisija je inicirala „Europsko inovacijsko partnerstvo za pametne gradove i zajednice“. Partnerstvo je usredotočeno na održivu mobilnost u gradovima i integraciju infrastrukture u području energetike, informacijsko-komunikacijske tehnologije i prometa. Partnerstvo nije inicirano prvenstveno zbog smanjenja emisija stakleničkih plinova, ali provedba rješenja za „pametne gradove“</w:t>
      </w:r>
      <w:r w:rsidR="00E31826" w:rsidRPr="00654E3B">
        <w:rPr>
          <w:rFonts w:cs="Times New Roman"/>
        </w:rPr>
        <w:t>,</w:t>
      </w:r>
      <w:r w:rsidRPr="00654E3B">
        <w:rPr>
          <w:rFonts w:cs="Times New Roman"/>
        </w:rPr>
        <w:t xml:space="preserve"> nedvojbeno rezultira smanjenom energetskom potrošnjom, učinkovitijim korištenjem resursa i smanjenjem emisija u gradovima.</w:t>
      </w:r>
    </w:p>
    <w:p w:rsidR="007D4A93" w:rsidRPr="00654E3B" w:rsidRDefault="00EF0BEB">
      <w:pPr>
        <w:rPr>
          <w:rFonts w:cs="Times New Roman"/>
        </w:rPr>
      </w:pPr>
      <w:r w:rsidRPr="00654E3B">
        <w:rPr>
          <w:rFonts w:cs="Times New Roman"/>
        </w:rPr>
        <w:t>U okviru partnerstva</w:t>
      </w:r>
      <w:r w:rsidR="00E31826" w:rsidRPr="00654E3B">
        <w:rPr>
          <w:rFonts w:cs="Times New Roman"/>
        </w:rPr>
        <w:t>,</w:t>
      </w:r>
      <w:r w:rsidRPr="00654E3B">
        <w:rPr>
          <w:rFonts w:cs="Times New Roman"/>
        </w:rPr>
        <w:t xml:space="preserve"> gradovi na području EU pozvani su da istaknu svoje obveze za osiguranje sredstava i razvoj rješenja „pametnih gradova“. Dosad je uključeno više od 3.000 partnera, među njima su i obveze istaknute od strane četiriju hrvatskih gradova: Zagreba, Rijeke, Osijeka i Dubrovnika.</w:t>
      </w:r>
    </w:p>
    <w:p w:rsidR="007D4A93" w:rsidRPr="00654E3B" w:rsidRDefault="00EF0BEB">
      <w:pPr>
        <w:rPr>
          <w:rFonts w:cs="Times New Roman"/>
        </w:rPr>
      </w:pPr>
      <w:r w:rsidRPr="00654E3B">
        <w:rPr>
          <w:rFonts w:cs="Times New Roman"/>
        </w:rPr>
        <w:t>Gradovi svoje planiranje trebaju temeljiti na planiranju energetike na razini čitavog grada i gradskih četvrti, čime se mogu dobiti optimalna rješenja.</w:t>
      </w:r>
    </w:p>
    <w:p w:rsidR="005D4D97" w:rsidRPr="00654E3B" w:rsidRDefault="005D4D97">
      <w:pPr>
        <w:rPr>
          <w:rFonts w:cs="Times New Roman"/>
        </w:rPr>
      </w:pPr>
      <w:r w:rsidRPr="00654E3B">
        <w:rPr>
          <w:rFonts w:cs="Times New Roman"/>
        </w:rPr>
        <w:t>Misija u okviru Obzora Europa pomoći će u ispunjavanju ciljeva utvrđenih međunarodnim političkim okvirima, kao što su Pariški sporazum, UN-ovi ciljevi održivog razvoja (osobito SDG 11</w:t>
      </w:r>
      <w:r w:rsidR="001B3376" w:rsidRPr="00654E3B">
        <w:rPr>
          <w:rFonts w:cs="Times New Roman"/>
        </w:rPr>
        <w:t xml:space="preserve"> i 13</w:t>
      </w:r>
      <w:r w:rsidRPr="00654E3B">
        <w:rPr>
          <w:rFonts w:cs="Times New Roman"/>
        </w:rPr>
        <w:t>), Urbana agenda za EU i Nova urbana agenda habitat III, s obzirom na to da gradovi imaju ključnu ulogu u svim</w:t>
      </w:r>
      <w:r w:rsidR="00E31826" w:rsidRPr="00654E3B">
        <w:rPr>
          <w:rFonts w:cs="Times New Roman"/>
        </w:rPr>
        <w:t>a</w:t>
      </w:r>
      <w:r w:rsidRPr="00654E3B">
        <w:rPr>
          <w:rFonts w:cs="Times New Roman"/>
        </w:rPr>
        <w:t xml:space="preserve"> njima. Dostizanje 100 klimatskih neutralnih gradova do 2030. godine</w:t>
      </w:r>
      <w:r w:rsidR="00E31826" w:rsidRPr="00654E3B">
        <w:rPr>
          <w:rFonts w:cs="Times New Roman"/>
        </w:rPr>
        <w:t>,</w:t>
      </w:r>
      <w:r w:rsidRPr="00654E3B">
        <w:rPr>
          <w:rFonts w:cs="Times New Roman"/>
        </w:rPr>
        <w:t xml:space="preserve"> cilj je koji je utvrdio Odbor misije za klimatski neutralne i pametne gradove. Misija na ovom području podržala bi, promovirala i prikazala100 europskih gradova u njihovoj sustavnoj transformaciji prema klimatskoj neutralnosti do 2030. godine i pretvorila ih u središte eksperimentiranja i inovacija za sve gradove.</w:t>
      </w:r>
    </w:p>
    <w:p w:rsidR="00544FAD" w:rsidRPr="00654E3B" w:rsidRDefault="00544FAD">
      <w:pPr>
        <w:rPr>
          <w:rFonts w:cs="Times New Roman"/>
          <w:u w:val="single"/>
        </w:rPr>
      </w:pPr>
      <w:r w:rsidRPr="00654E3B">
        <w:rPr>
          <w:rFonts w:cs="Times New Roman"/>
          <w:u w:val="single"/>
        </w:rPr>
        <w:t>Pametni otoci</w:t>
      </w:r>
    </w:p>
    <w:p w:rsidR="00544FAD" w:rsidRPr="00654E3B" w:rsidRDefault="00544FAD">
      <w:pPr>
        <w:rPr>
          <w:rFonts w:cs="Times New Roman"/>
        </w:rPr>
      </w:pPr>
      <w:r w:rsidRPr="00654E3B">
        <w:rPr>
          <w:rFonts w:cs="Times New Roman"/>
        </w:rPr>
        <w:t xml:space="preserve">Na inicijativu otočnih jedinica lokalne samouprave i drugih dionika na otocima, s ciljem razvoja pametnih, </w:t>
      </w:r>
      <w:r w:rsidR="00E31826" w:rsidRPr="00654E3B">
        <w:rPr>
          <w:rFonts w:cs="Times New Roman"/>
        </w:rPr>
        <w:t xml:space="preserve">uključivih </w:t>
      </w:r>
      <w:r w:rsidRPr="00654E3B">
        <w:rPr>
          <w:rFonts w:cs="Times New Roman"/>
        </w:rPr>
        <w:t xml:space="preserve">i uspješnih otočnih zajednica za inovativnu i održivu Europu, 2017. godine </w:t>
      </w:r>
      <w:r w:rsidRPr="00654E3B">
        <w:rPr>
          <w:rFonts w:cs="Times New Roman"/>
        </w:rPr>
        <w:lastRenderedPageBreak/>
        <w:t xml:space="preserve">potpisana je deklaracija o pametnim otocima. </w:t>
      </w:r>
      <w:r w:rsidR="001B3376" w:rsidRPr="00654E3B">
        <w:rPr>
          <w:rFonts w:cs="Times New Roman"/>
        </w:rPr>
        <w:t>D</w:t>
      </w:r>
      <w:r w:rsidRPr="00654E3B">
        <w:rPr>
          <w:rFonts w:cs="Times New Roman"/>
        </w:rPr>
        <w:t xml:space="preserve">eklaracija ističe nužnost poticanja otočnih zajednica na prelazak na čistu energiju te naročito jačanje sinergije između energetike, transporta i informacijsko i komunikacijske tehnologije, uz uključivanje tema vezanih uz vodu i otpad. Ovakav način pristupa temelji se na osiguravanju optimalnog korištenja i upravljanja otočnim resursima te doprinosu održivog i ravnomjernog razvoja koji će maksimalno očuvati i iskoristiti otočne potencijale. </w:t>
      </w:r>
      <w:r w:rsidR="001B3376" w:rsidRPr="00654E3B">
        <w:rPr>
          <w:rFonts w:cs="Times New Roman"/>
        </w:rPr>
        <w:t>J</w:t>
      </w:r>
      <w:r w:rsidRPr="00654E3B">
        <w:rPr>
          <w:rFonts w:cs="Times New Roman"/>
        </w:rPr>
        <w:t>edna od glavnih odrednica pametnih otoka je smanjenje upotrebe fosilnih goriva</w:t>
      </w:r>
      <w:r w:rsidR="00C17167" w:rsidRPr="00654E3B">
        <w:rPr>
          <w:rFonts w:cs="Times New Roman"/>
        </w:rPr>
        <w:t>,</w:t>
      </w:r>
      <w:r w:rsidRPr="00654E3B">
        <w:rPr>
          <w:rFonts w:cs="Times New Roman"/>
        </w:rPr>
        <w:t xml:space="preserve"> povećanje korištenja značajnih resursa obnovljivih izvora energije i energetske učinkovitosti. Cilj iskorištavanja obnovljivih izvora energije, sunca, vjetra, morskih struja i valova je niskougljični razvoj</w:t>
      </w:r>
      <w:r w:rsidR="00C17167" w:rsidRPr="00654E3B">
        <w:rPr>
          <w:rFonts w:cs="Times New Roman"/>
        </w:rPr>
        <w:t>,</w:t>
      </w:r>
      <w:r w:rsidRPr="00654E3B">
        <w:rPr>
          <w:rFonts w:cs="Times New Roman"/>
        </w:rPr>
        <w:t xml:space="preserve"> kojem doprinosi i povećanje energetske učinkovitosti stambenih objekata (rasvjeta, grijanje, hlađenje) i infrastrukture (ulična rasvjeta, crpne stanice,...). Posebno je naglašen potencijal otoka kao pilot lokacija za razvoj integriranih rješenja kao što su proizvodnja energije iz otpada i energije vjetra i mora, korištenja energije proizvedene iz obnovljivih izvora energije u transportu i električnim vozilima ili pak za potrebe desalinizacije</w:t>
      </w:r>
      <w:r w:rsidR="00C17167" w:rsidRPr="00654E3B">
        <w:rPr>
          <w:rFonts w:cs="Times New Roman"/>
        </w:rPr>
        <w:t>,</w:t>
      </w:r>
      <w:r w:rsidRPr="00654E3B">
        <w:rPr>
          <w:rFonts w:cs="Times New Roman"/>
        </w:rPr>
        <w:t xml:space="preserve"> iskorištavanjem sinergije između održive energije, otpada, vode i mobilnosti.</w:t>
      </w:r>
    </w:p>
    <w:p w:rsidR="007D4A93" w:rsidRPr="00654E3B" w:rsidRDefault="00EF0BEB">
      <w:pPr>
        <w:rPr>
          <w:rFonts w:cs="Times New Roman"/>
          <w:u w:val="single"/>
        </w:rPr>
      </w:pPr>
      <w:r w:rsidRPr="00654E3B">
        <w:rPr>
          <w:rFonts w:cs="Times New Roman"/>
          <w:u w:val="single"/>
        </w:rPr>
        <w:t>Program ublažavanja klimatskih promjena, prilagodbe klimatskim promjenama i zaštite ozonskog sloja</w:t>
      </w:r>
    </w:p>
    <w:p w:rsidR="007D4A93" w:rsidRPr="00654E3B" w:rsidRDefault="00EF0BEB">
      <w:pPr>
        <w:rPr>
          <w:rFonts w:cs="Times New Roman"/>
        </w:rPr>
      </w:pPr>
      <w:r w:rsidRPr="00654E3B">
        <w:rPr>
          <w:rFonts w:cs="Times New Roman"/>
        </w:rPr>
        <w:t>Zakonom o klimatskim promjenama i zaštiti ozonskog sloja (</w:t>
      </w:r>
      <w:r w:rsidR="001C0429" w:rsidRPr="00654E3B">
        <w:rPr>
          <w:rFonts w:cs="Times New Roman"/>
        </w:rPr>
        <w:t>Narodne novin</w:t>
      </w:r>
      <w:r w:rsidR="00566C24" w:rsidRPr="00654E3B">
        <w:rPr>
          <w:rFonts w:cs="Times New Roman"/>
        </w:rPr>
        <w:t>e</w:t>
      </w:r>
      <w:r w:rsidRPr="00654E3B">
        <w:rPr>
          <w:rFonts w:cs="Times New Roman"/>
        </w:rPr>
        <w:t>, broj 127/2019)</w:t>
      </w:r>
      <w:r w:rsidR="00C17167" w:rsidRPr="00654E3B">
        <w:rPr>
          <w:rFonts w:cs="Times New Roman"/>
        </w:rPr>
        <w:t>,</w:t>
      </w:r>
      <w:r w:rsidRPr="00654E3B">
        <w:rPr>
          <w:rFonts w:cs="Times New Roman"/>
        </w:rPr>
        <w:t xml:space="preserve"> je propisana obveza predstavničkim tijelima županija, Grada Zagreba i velikih gradova</w:t>
      </w:r>
      <w:r w:rsidR="00C17167" w:rsidRPr="00654E3B">
        <w:rPr>
          <w:rFonts w:cs="Times New Roman"/>
        </w:rPr>
        <w:t>,</w:t>
      </w:r>
      <w:r w:rsidRPr="00654E3B">
        <w:rPr>
          <w:rFonts w:cs="Times New Roman"/>
        </w:rPr>
        <w:t xml:space="preserve"> da donesu program ublažavanja klimatskih promjena, prilagodbe klimatskim promjenama i zaštite ozonskog sloja kao sastavni dio programa zaštite okoliša.</w:t>
      </w:r>
    </w:p>
    <w:p w:rsidR="007D4A93" w:rsidRPr="00654E3B" w:rsidRDefault="00EF0BEB">
      <w:pPr>
        <w:rPr>
          <w:rFonts w:cs="Times New Roman"/>
          <w:color w:val="231F20"/>
          <w:shd w:val="clear" w:color="auto" w:fill="FFFFFF"/>
        </w:rPr>
      </w:pPr>
      <w:r w:rsidRPr="00654E3B">
        <w:rPr>
          <w:rFonts w:cs="Times New Roman"/>
        </w:rPr>
        <w:t xml:space="preserve">Obveza izrade programa propisana je za 20 županija, Grad Zagreb i desetak velikih gradova u Republici Hrvatskoj (gradova s više od 35.000 stanovnika). </w:t>
      </w:r>
    </w:p>
    <w:p w:rsidR="007D4A93" w:rsidRPr="00654E3B" w:rsidRDefault="00EF0BEB">
      <w:pPr>
        <w:rPr>
          <w:rFonts w:cs="Times New Roman"/>
          <w:u w:val="single"/>
        </w:rPr>
      </w:pPr>
      <w:r w:rsidRPr="00654E3B">
        <w:rPr>
          <w:rFonts w:cs="Times New Roman"/>
          <w:u w:val="single"/>
        </w:rPr>
        <w:t>Inicijativa Sporazum gradonačelnika za klimu i energiju</w:t>
      </w:r>
    </w:p>
    <w:p w:rsidR="007D4A93" w:rsidRPr="00654E3B" w:rsidRDefault="00EF0BEB">
      <w:pPr>
        <w:rPr>
          <w:rFonts w:cs="Times New Roman"/>
        </w:rPr>
      </w:pPr>
      <w:r w:rsidRPr="00654E3B">
        <w:rPr>
          <w:rFonts w:cs="Times New Roman"/>
        </w:rPr>
        <w:t xml:space="preserve">Jedan od instrumenata u implementaciji klimatsko-energetske politike EU je inicijativa Sporazum gradonačelnika za klimu i energiju. </w:t>
      </w:r>
    </w:p>
    <w:p w:rsidR="007D4A93" w:rsidRPr="00654E3B" w:rsidRDefault="00EF0BEB">
      <w:pPr>
        <w:rPr>
          <w:rFonts w:cs="Times New Roman"/>
        </w:rPr>
      </w:pPr>
      <w:r w:rsidRPr="00654E3B">
        <w:rPr>
          <w:rFonts w:cs="Times New Roman"/>
        </w:rPr>
        <w:t>Europska komisija pokrenula je 2008. godine inicijativu Sporazum gradonačelnika</w:t>
      </w:r>
      <w:r w:rsidR="00C17167" w:rsidRPr="00654E3B">
        <w:rPr>
          <w:rFonts w:cs="Times New Roman"/>
        </w:rPr>
        <w:t>,</w:t>
      </w:r>
      <w:r w:rsidRPr="00654E3B">
        <w:rPr>
          <w:rFonts w:cs="Times New Roman"/>
        </w:rPr>
        <w:t xml:space="preserve"> kako bi se </w:t>
      </w:r>
      <w:r w:rsidR="005941DA" w:rsidRPr="00654E3B">
        <w:rPr>
          <w:rFonts w:cs="Times New Roman"/>
        </w:rPr>
        <w:t xml:space="preserve">jedinice </w:t>
      </w:r>
      <w:r w:rsidRPr="00654E3B">
        <w:rPr>
          <w:rFonts w:cs="Times New Roman"/>
        </w:rPr>
        <w:t>lokaln</w:t>
      </w:r>
      <w:r w:rsidR="005941DA" w:rsidRPr="00654E3B">
        <w:rPr>
          <w:rFonts w:cs="Times New Roman"/>
        </w:rPr>
        <w:t>e</w:t>
      </w:r>
      <w:r w:rsidRPr="00654E3B">
        <w:rPr>
          <w:rFonts w:cs="Times New Roman"/>
        </w:rPr>
        <w:t xml:space="preserve"> </w:t>
      </w:r>
      <w:r w:rsidR="005941DA" w:rsidRPr="00654E3B">
        <w:rPr>
          <w:rFonts w:cs="Times New Roman"/>
        </w:rPr>
        <w:t>samo</w:t>
      </w:r>
      <w:r w:rsidRPr="00654E3B">
        <w:rPr>
          <w:rFonts w:cs="Times New Roman"/>
        </w:rPr>
        <w:t>uprav</w:t>
      </w:r>
      <w:r w:rsidR="005941DA" w:rsidRPr="00654E3B">
        <w:rPr>
          <w:rFonts w:cs="Times New Roman"/>
        </w:rPr>
        <w:t>e</w:t>
      </w:r>
      <w:r w:rsidRPr="00654E3B">
        <w:rPr>
          <w:rFonts w:cs="Times New Roman"/>
        </w:rPr>
        <w:t xml:space="preserve"> aktivno uključil</w:t>
      </w:r>
      <w:r w:rsidR="005941DA" w:rsidRPr="00654E3B">
        <w:rPr>
          <w:rFonts w:cs="Times New Roman"/>
        </w:rPr>
        <w:t>e</w:t>
      </w:r>
      <w:r w:rsidRPr="00654E3B">
        <w:rPr>
          <w:rFonts w:cs="Times New Roman"/>
        </w:rPr>
        <w:t xml:space="preserve"> u energetsku tranziciju s ciljem postizanja klimatskih i energetskih ciljeva EU – ciljevi 20-20-20 do 2020. godine. Na taj je način stvorena mreža osviješten</w:t>
      </w:r>
      <w:r w:rsidR="005941DA" w:rsidRPr="00654E3B">
        <w:rPr>
          <w:rFonts w:cs="Times New Roman"/>
        </w:rPr>
        <w:t>ih jedinica</w:t>
      </w:r>
      <w:r w:rsidRPr="00654E3B">
        <w:rPr>
          <w:rFonts w:cs="Times New Roman"/>
        </w:rPr>
        <w:t xml:space="preserve"> lokalne </w:t>
      </w:r>
      <w:r w:rsidR="005941DA" w:rsidRPr="00654E3B">
        <w:rPr>
          <w:rFonts w:cs="Times New Roman"/>
        </w:rPr>
        <w:t>samo</w:t>
      </w:r>
      <w:r w:rsidRPr="00654E3B">
        <w:rPr>
          <w:rFonts w:cs="Times New Roman"/>
        </w:rPr>
        <w:t>uprave opredijeljene prema održivom energetskom razvoju lokalne sredine i očuvanju okoliša</w:t>
      </w:r>
      <w:r w:rsidR="00C17167" w:rsidRPr="00654E3B">
        <w:rPr>
          <w:rFonts w:cs="Times New Roman"/>
        </w:rPr>
        <w:t>,</w:t>
      </w:r>
      <w:r w:rsidRPr="00654E3B">
        <w:rPr>
          <w:rFonts w:cs="Times New Roman"/>
        </w:rPr>
        <w:t xml:space="preserve"> koja služi za dobrobit svih stanovnika EU. </w:t>
      </w:r>
    </w:p>
    <w:p w:rsidR="007D4A93" w:rsidRPr="00654E3B" w:rsidRDefault="00EF0BEB">
      <w:pPr>
        <w:rPr>
          <w:rFonts w:cs="Times New Roman"/>
        </w:rPr>
      </w:pPr>
      <w:r w:rsidRPr="00654E3B">
        <w:rPr>
          <w:rFonts w:cs="Times New Roman"/>
        </w:rPr>
        <w:t xml:space="preserve">Po usvajanju Pariškog sporazuma o klimatskim promjenama 2015. godine, u okvirima europske klimatske politike održane su konzultacije o budućnosti Sporazuma gradonačelnika te je pokrenut Sporazum gradonačelnika za klimu i energiju, koji nadilazi ciljeve postavljene za 2020. godinu. Potpisnici Sporazuma gradonačelnika za energiju i klimu obvezuju se: </w:t>
      </w:r>
    </w:p>
    <w:p w:rsidR="007D4A93" w:rsidRPr="00654E3B" w:rsidRDefault="00EF0BEB" w:rsidP="000C6795">
      <w:pPr>
        <w:pStyle w:val="ListParagraph"/>
        <w:numPr>
          <w:ilvl w:val="0"/>
          <w:numId w:val="5"/>
        </w:numPr>
        <w:rPr>
          <w:rFonts w:cs="Times New Roman"/>
          <w:szCs w:val="24"/>
        </w:rPr>
      </w:pPr>
      <w:r w:rsidRPr="00654E3B">
        <w:rPr>
          <w:rFonts w:cs="Times New Roman"/>
          <w:szCs w:val="24"/>
        </w:rPr>
        <w:t>smanjiti emisije ugljikova dioksida (i prema mogućnosti, drugih stakleničkih plinova) na području svojih gradova ili općina za najmanje 40</w:t>
      </w:r>
      <w:r w:rsidR="00060992" w:rsidRPr="00654E3B">
        <w:rPr>
          <w:rFonts w:cs="Times New Roman"/>
          <w:szCs w:val="24"/>
        </w:rPr>
        <w:t xml:space="preserve"> %</w:t>
      </w:r>
      <w:r w:rsidRPr="00654E3B">
        <w:rPr>
          <w:rFonts w:cs="Times New Roman"/>
          <w:szCs w:val="24"/>
        </w:rPr>
        <w:t xml:space="preserve"> do 2030. godine učinkovitijom upotrebom energije i većom upotrebom obnovljivih izvora energije</w:t>
      </w:r>
      <w:r w:rsidR="00C17167" w:rsidRPr="00654E3B">
        <w:rPr>
          <w:rFonts w:cs="Times New Roman"/>
          <w:szCs w:val="24"/>
        </w:rPr>
        <w:t>;</w:t>
      </w:r>
    </w:p>
    <w:p w:rsidR="007D4A93" w:rsidRPr="00654E3B" w:rsidRDefault="00EF0BEB" w:rsidP="000C6795">
      <w:pPr>
        <w:pStyle w:val="ListParagraph"/>
        <w:numPr>
          <w:ilvl w:val="0"/>
          <w:numId w:val="5"/>
        </w:numPr>
        <w:rPr>
          <w:rFonts w:cs="Times New Roman"/>
          <w:szCs w:val="24"/>
        </w:rPr>
      </w:pPr>
      <w:r w:rsidRPr="00654E3B">
        <w:rPr>
          <w:rFonts w:cs="Times New Roman"/>
          <w:szCs w:val="24"/>
        </w:rPr>
        <w:t>povećati otpornost</w:t>
      </w:r>
      <w:r w:rsidR="00A91D59" w:rsidRPr="00654E3B">
        <w:rPr>
          <w:rFonts w:cs="Times New Roman"/>
          <w:szCs w:val="24"/>
        </w:rPr>
        <w:t>,</w:t>
      </w:r>
      <w:r w:rsidRPr="00654E3B">
        <w:rPr>
          <w:rFonts w:cs="Times New Roman"/>
          <w:szCs w:val="24"/>
        </w:rPr>
        <w:t xml:space="preserve"> prilago</w:t>
      </w:r>
      <w:r w:rsidR="00A91D59" w:rsidRPr="00654E3B">
        <w:rPr>
          <w:rFonts w:cs="Times New Roman"/>
          <w:szCs w:val="24"/>
        </w:rPr>
        <w:t>dbom</w:t>
      </w:r>
      <w:r w:rsidRPr="00654E3B">
        <w:rPr>
          <w:rFonts w:cs="Times New Roman"/>
          <w:szCs w:val="24"/>
        </w:rPr>
        <w:t xml:space="preserve"> klimatski</w:t>
      </w:r>
      <w:r w:rsidR="00A91D59" w:rsidRPr="00654E3B">
        <w:rPr>
          <w:rFonts w:cs="Times New Roman"/>
          <w:szCs w:val="24"/>
        </w:rPr>
        <w:t>m</w:t>
      </w:r>
      <w:r w:rsidRPr="00654E3B">
        <w:rPr>
          <w:rFonts w:cs="Times New Roman"/>
          <w:szCs w:val="24"/>
        </w:rPr>
        <w:t xml:space="preserve"> promjena</w:t>
      </w:r>
      <w:r w:rsidR="00A91D59" w:rsidRPr="00654E3B">
        <w:rPr>
          <w:rFonts w:cs="Times New Roman"/>
          <w:szCs w:val="24"/>
        </w:rPr>
        <w:t>ma</w:t>
      </w:r>
      <w:r w:rsidRPr="00654E3B">
        <w:rPr>
          <w:rFonts w:cs="Times New Roman"/>
          <w:szCs w:val="24"/>
        </w:rPr>
        <w:t xml:space="preserve"> te </w:t>
      </w:r>
    </w:p>
    <w:p w:rsidR="007D4A93" w:rsidRPr="00654E3B" w:rsidRDefault="00EF0BEB" w:rsidP="000C6795">
      <w:pPr>
        <w:pStyle w:val="ListParagraph"/>
        <w:numPr>
          <w:ilvl w:val="0"/>
          <w:numId w:val="5"/>
        </w:numPr>
        <w:rPr>
          <w:rFonts w:cs="Times New Roman"/>
          <w:szCs w:val="24"/>
        </w:rPr>
      </w:pPr>
      <w:r w:rsidRPr="00654E3B">
        <w:rPr>
          <w:rFonts w:cs="Times New Roman"/>
          <w:szCs w:val="24"/>
        </w:rPr>
        <w:t>dijeliti svoju viziju, rezultate, iskustvo i znanje s drugim lokalnim i regionalnim tijelima unutar i izvan EU-a</w:t>
      </w:r>
      <w:r w:rsidR="00C17167" w:rsidRPr="00654E3B">
        <w:rPr>
          <w:rFonts w:cs="Times New Roman"/>
          <w:szCs w:val="24"/>
        </w:rPr>
        <w:t xml:space="preserve">, </w:t>
      </w:r>
      <w:r w:rsidRPr="00654E3B">
        <w:rPr>
          <w:rFonts w:cs="Times New Roman"/>
          <w:szCs w:val="24"/>
        </w:rPr>
        <w:t xml:space="preserve">putem izravne suradnje i razmjene, posebno u kontekstu Globalnog sporazuma gradonačelnika. </w:t>
      </w:r>
    </w:p>
    <w:p w:rsidR="007D4A93" w:rsidRPr="00654E3B" w:rsidRDefault="00EF0BEB">
      <w:pPr>
        <w:rPr>
          <w:rFonts w:cs="Times New Roman"/>
        </w:rPr>
      </w:pPr>
      <w:r w:rsidRPr="00654E3B">
        <w:rPr>
          <w:rFonts w:cs="Times New Roman"/>
        </w:rPr>
        <w:t>U tu svrhu, potpisnice novog Sporazuma gradonačelnika za klimu i energiju</w:t>
      </w:r>
      <w:r w:rsidR="00C17167" w:rsidRPr="00654E3B">
        <w:rPr>
          <w:rFonts w:cs="Times New Roman"/>
        </w:rPr>
        <w:t>,</w:t>
      </w:r>
      <w:r w:rsidRPr="00654E3B">
        <w:rPr>
          <w:rFonts w:cs="Times New Roman"/>
        </w:rPr>
        <w:t xml:space="preserve"> obvezuju se da će izraditi i provesti Akcijski plan za održivu energiju i borbu protiv klimatskih promjena (eng. </w:t>
      </w:r>
      <w:r w:rsidRPr="00654E3B">
        <w:rPr>
          <w:rFonts w:cs="Times New Roman"/>
          <w:i/>
        </w:rPr>
        <w:t>Sustainable Energy and Climate Action Plan - SECAP</w:t>
      </w:r>
      <w:r w:rsidRPr="00654E3B">
        <w:rPr>
          <w:rFonts w:cs="Times New Roman"/>
        </w:rPr>
        <w:t xml:space="preserve">), u kojem se uz mjere održivog energetskog razvoja, čiji rezultat je smanjenje stakleničkih plinova, određuju i mjere prilagodbe klimatskim promjenama u skladu s lokalnim specifičnostima. </w:t>
      </w:r>
    </w:p>
    <w:p w:rsidR="007D4A93" w:rsidRPr="00654E3B" w:rsidRDefault="00EF0BEB">
      <w:pPr>
        <w:rPr>
          <w:rFonts w:cs="Times New Roman"/>
          <w:u w:val="single"/>
        </w:rPr>
      </w:pPr>
      <w:r w:rsidRPr="00654E3B">
        <w:rPr>
          <w:rFonts w:cs="Times New Roman"/>
          <w:u w:val="single"/>
        </w:rPr>
        <w:t>Povelja o suradnji u cilju dekarbonizacije zgrada do 2050. godine</w:t>
      </w:r>
    </w:p>
    <w:p w:rsidR="007D4A93" w:rsidRPr="00654E3B" w:rsidRDefault="00EF0BEB">
      <w:pPr>
        <w:rPr>
          <w:rFonts w:cs="Times New Roman"/>
        </w:rPr>
      </w:pPr>
      <w:r w:rsidRPr="00654E3B">
        <w:rPr>
          <w:rFonts w:cs="Times New Roman"/>
        </w:rPr>
        <w:t>Povelj</w:t>
      </w:r>
      <w:r w:rsidR="00C17167" w:rsidRPr="00654E3B">
        <w:rPr>
          <w:rFonts w:cs="Times New Roman"/>
        </w:rPr>
        <w:t>om</w:t>
      </w:r>
      <w:r w:rsidRPr="00654E3B">
        <w:rPr>
          <w:rFonts w:cs="Times New Roman"/>
        </w:rPr>
        <w:t xml:space="preserve"> o suradnji u cilju dekarbonizacije zgrada do 2050. godine, koju je pokrenulo Ministarstvo </w:t>
      </w:r>
      <w:r w:rsidR="006C7329" w:rsidRPr="00654E3B">
        <w:rPr>
          <w:rFonts w:cs="Times New Roman"/>
        </w:rPr>
        <w:t>prostornog</w:t>
      </w:r>
      <w:r w:rsidR="00A91D59" w:rsidRPr="00654E3B">
        <w:rPr>
          <w:rFonts w:cs="Times New Roman"/>
        </w:rPr>
        <w:t>a</w:t>
      </w:r>
      <w:r w:rsidR="006C7329" w:rsidRPr="00654E3B">
        <w:rPr>
          <w:rFonts w:cs="Times New Roman"/>
        </w:rPr>
        <w:t xml:space="preserve"> uređenja, graditeljstva i državne imovine</w:t>
      </w:r>
      <w:r w:rsidRPr="00654E3B">
        <w:rPr>
          <w:rFonts w:cs="Times New Roman"/>
        </w:rPr>
        <w:t>, podržava se EU vizija dekarbonizacije zgrada do 2050. godine. Povelja je pokrenuta zbog bolje komunikacije i suradnje između tijela državne uprave i realnog sektora. Cilj je putem radionica i otvorenog dijaloga partnera</w:t>
      </w:r>
      <w:r w:rsidR="00C17167" w:rsidRPr="00654E3B">
        <w:rPr>
          <w:rFonts w:cs="Times New Roman"/>
        </w:rPr>
        <w:t>,</w:t>
      </w:r>
      <w:r w:rsidRPr="00654E3B">
        <w:rPr>
          <w:rFonts w:cs="Times New Roman"/>
        </w:rPr>
        <w:t xml:space="preserve"> stvoriti široku mrežu povezanih </w:t>
      </w:r>
      <w:r w:rsidRPr="00654E3B">
        <w:rPr>
          <w:rFonts w:cs="Times New Roman"/>
        </w:rPr>
        <w:lastRenderedPageBreak/>
        <w:t>stručnjaka koji su spremni na zajednički dijalog i doprinos dekarbonizaciji fonda zgrada do 2050. godine. Otvoreni dijalozi partnera</w:t>
      </w:r>
      <w:r w:rsidR="00C17167" w:rsidRPr="00654E3B">
        <w:rPr>
          <w:rFonts w:cs="Times New Roman"/>
        </w:rPr>
        <w:t xml:space="preserve">, </w:t>
      </w:r>
      <w:r w:rsidRPr="00654E3B">
        <w:rPr>
          <w:rFonts w:cs="Times New Roman"/>
        </w:rPr>
        <w:t xml:space="preserve">okupljaju predstavnike državne </w:t>
      </w:r>
      <w:r w:rsidR="005941DA" w:rsidRPr="00654E3B">
        <w:rPr>
          <w:rFonts w:cs="Times New Roman"/>
        </w:rPr>
        <w:t>uprave,</w:t>
      </w:r>
      <w:r w:rsidRPr="00654E3B">
        <w:rPr>
          <w:rFonts w:cs="Times New Roman"/>
        </w:rPr>
        <w:t xml:space="preserve"> </w:t>
      </w:r>
      <w:r w:rsidR="005941DA" w:rsidRPr="00654E3B">
        <w:rPr>
          <w:rFonts w:cs="Times New Roman"/>
        </w:rPr>
        <w:t xml:space="preserve">jedinica </w:t>
      </w:r>
      <w:r w:rsidRPr="00654E3B">
        <w:rPr>
          <w:rFonts w:cs="Times New Roman"/>
        </w:rPr>
        <w:t xml:space="preserve">lokalne </w:t>
      </w:r>
      <w:r w:rsidR="005941DA" w:rsidRPr="00654E3B">
        <w:rPr>
          <w:rFonts w:cs="Times New Roman"/>
        </w:rPr>
        <w:t>samo</w:t>
      </w:r>
      <w:r w:rsidRPr="00654E3B">
        <w:rPr>
          <w:rFonts w:cs="Times New Roman"/>
        </w:rPr>
        <w:t>uprave, akademske zajednice i stručne javnosti, građevinskog i energetskog sektora te pratećih industrija</w:t>
      </w:r>
      <w:r w:rsidR="00C17167" w:rsidRPr="00654E3B">
        <w:rPr>
          <w:rFonts w:cs="Times New Roman"/>
        </w:rPr>
        <w:t>,</w:t>
      </w:r>
      <w:r w:rsidRPr="00654E3B">
        <w:rPr>
          <w:rFonts w:cs="Times New Roman"/>
        </w:rPr>
        <w:t xml:space="preserve"> na tematskim radionicama koje organizira Ministarstva </w:t>
      </w:r>
      <w:r w:rsidR="006C7329" w:rsidRPr="00654E3B">
        <w:rPr>
          <w:rFonts w:cs="Times New Roman"/>
        </w:rPr>
        <w:t>prostornog</w:t>
      </w:r>
      <w:r w:rsidR="00A91D59" w:rsidRPr="00654E3B">
        <w:rPr>
          <w:rFonts w:cs="Times New Roman"/>
        </w:rPr>
        <w:t>a</w:t>
      </w:r>
      <w:r w:rsidR="006C7329" w:rsidRPr="00654E3B">
        <w:rPr>
          <w:rFonts w:cs="Times New Roman"/>
        </w:rPr>
        <w:t xml:space="preserve"> uređenja, graditeljstva i državne imovine</w:t>
      </w:r>
      <w:r w:rsidRPr="00654E3B">
        <w:rPr>
          <w:rFonts w:cs="Times New Roman"/>
        </w:rPr>
        <w:t xml:space="preserve">. </w:t>
      </w:r>
    </w:p>
    <w:p w:rsidR="007D4A93" w:rsidRPr="00654E3B" w:rsidRDefault="00EF0BEB">
      <w:pPr>
        <w:rPr>
          <w:rFonts w:cs="Times New Roman"/>
        </w:rPr>
      </w:pPr>
      <w:r w:rsidRPr="00654E3B">
        <w:rPr>
          <w:rFonts w:cs="Times New Roman"/>
        </w:rPr>
        <w:t>Sadržaj povelje odnosi se na postizanje energetskih i klimatskih ciljeva na nacionalnoj i EU razini kroz dekarbonizaciju fonda zgrada, obnovom zgrada i građenjem zgrada gotovo nulte energije, svjesni važnosti dodatnog smanjenja emisija stakleničkih plinova, povećanja udjela obnovljivih izvora energije, poboljšanja energetske sigurnosti te uvođenja inovacija i pametnih tehnologija</w:t>
      </w:r>
      <w:r w:rsidR="00C17167" w:rsidRPr="00654E3B">
        <w:rPr>
          <w:rFonts w:cs="Times New Roman"/>
        </w:rPr>
        <w:t>,</w:t>
      </w:r>
      <w:r w:rsidRPr="00654E3B">
        <w:rPr>
          <w:rFonts w:cs="Times New Roman"/>
        </w:rPr>
        <w:t xml:space="preserve"> koje omogućuju zgradama da potpomognu sveukupnu dekarbonizaciju gospodarstva.</w:t>
      </w:r>
    </w:p>
    <w:p w:rsidR="007D4A93" w:rsidRPr="00654E3B" w:rsidRDefault="00EF0BEB">
      <w:pPr>
        <w:rPr>
          <w:rFonts w:cs="Times New Roman"/>
          <w:u w:val="single"/>
        </w:rPr>
      </w:pPr>
      <w:r w:rsidRPr="00654E3B">
        <w:rPr>
          <w:rFonts w:cs="Times New Roman"/>
          <w:u w:val="single"/>
        </w:rPr>
        <w:t>Niskougljični regionalni i lokalni integralni sustavi</w:t>
      </w:r>
    </w:p>
    <w:p w:rsidR="007D4A93" w:rsidRPr="00654E3B" w:rsidRDefault="00EF0BEB" w:rsidP="00CF5E00">
      <w:pPr>
        <w:rPr>
          <w:rFonts w:cs="Times New Roman"/>
        </w:rPr>
      </w:pPr>
      <w:r w:rsidRPr="00654E3B">
        <w:rPr>
          <w:rFonts w:cs="Times New Roman"/>
        </w:rPr>
        <w:t>Prilikom planiranja razvoja i ulaganja u infrastrukturu u području energetike, prometa i informacijsko-komunikacijske tehnologije</w:t>
      </w:r>
      <w:r w:rsidR="00C17167" w:rsidRPr="00654E3B">
        <w:rPr>
          <w:rFonts w:cs="Times New Roman"/>
        </w:rPr>
        <w:t>,</w:t>
      </w:r>
      <w:r w:rsidRPr="00654E3B">
        <w:rPr>
          <w:rFonts w:cs="Times New Roman"/>
        </w:rPr>
        <w:t xml:space="preserve"> na razini gradova, lokalnih i regionalnih zajednica</w:t>
      </w:r>
      <w:r w:rsidR="00C17167" w:rsidRPr="00654E3B">
        <w:rPr>
          <w:rFonts w:cs="Times New Roman"/>
        </w:rPr>
        <w:t>,</w:t>
      </w:r>
      <w:r w:rsidRPr="00654E3B">
        <w:rPr>
          <w:rFonts w:cs="Times New Roman"/>
        </w:rPr>
        <w:t xml:space="preserve"> potrebno je analizirati mogućnosti uspostave integriranih rješenja</w:t>
      </w:r>
      <w:r w:rsidR="00C17167" w:rsidRPr="00654E3B">
        <w:rPr>
          <w:rFonts w:cs="Times New Roman"/>
        </w:rPr>
        <w:t>,</w:t>
      </w:r>
      <w:r w:rsidRPr="00654E3B">
        <w:rPr>
          <w:rFonts w:cs="Times New Roman"/>
        </w:rPr>
        <w:t xml:space="preserve"> u kojima bi navedeni sektori bili međusobno povezani. Objedinjavanjem naprednih informacijsko-komunikacijskih tehnologija s energetskim i prometnim sustavima</w:t>
      </w:r>
      <w:r w:rsidR="00C17167" w:rsidRPr="00654E3B">
        <w:rPr>
          <w:rFonts w:cs="Times New Roman"/>
        </w:rPr>
        <w:t>,</w:t>
      </w:r>
      <w:r w:rsidRPr="00654E3B">
        <w:rPr>
          <w:rFonts w:cs="Times New Roman"/>
        </w:rPr>
        <w:t xml:space="preserve"> moguće je ostvariti višestruke pozitivne učinke s doprinosom niskougljičnom razvoju lokalnih i regionalnih zajednica. Kroz integracijske projekte je potrebno uspostaviti strateška partnerstva zajednica s industrijom i upoznati se s mogućnostima današnjih tehnologija. Planiranju projekata potrebno je pristupiti holistički.</w:t>
      </w:r>
    </w:p>
    <w:p w:rsidR="007D4A93" w:rsidRPr="00654E3B" w:rsidRDefault="00EF0BEB" w:rsidP="00CF5E00">
      <w:pPr>
        <w:rPr>
          <w:rFonts w:cs="Times New Roman"/>
        </w:rPr>
      </w:pPr>
      <w:r w:rsidRPr="00654E3B">
        <w:rPr>
          <w:rFonts w:cs="Times New Roman"/>
        </w:rPr>
        <w:t>Inovativna rješenja treba potražiti kroz alternativne oblike energije, unaprjeđenje javnog prijevoza, efikasnu logistiku i planiranje, povećanje energetske efikasnosti zgrada i naseljenih područja, povećanje udjela obnovljivih izvora energije te podizanje ukupne efikasnosti i održivosti sustava u gradovima. Rješenja trebaju polučiti mjerljivi doprinos smanjenju potrošnje energije, povećanju energetske efikasnosti i povećanju udjela obnovljivih izvora u proizvodnji energije.</w:t>
      </w:r>
    </w:p>
    <w:p w:rsidR="007D4A93" w:rsidRPr="00654E3B" w:rsidRDefault="00EF0BEB" w:rsidP="00CF5E00">
      <w:pPr>
        <w:rPr>
          <w:rFonts w:cs="Times New Roman"/>
        </w:rPr>
      </w:pPr>
      <w:r w:rsidRPr="00654E3B">
        <w:rPr>
          <w:rFonts w:cs="Times New Roman"/>
        </w:rPr>
        <w:t>Poseban slučaj integracije predstavljaju naseljeni otoci</w:t>
      </w:r>
      <w:r w:rsidR="00142A10" w:rsidRPr="00654E3B">
        <w:rPr>
          <w:rFonts w:cs="Times New Roman"/>
        </w:rPr>
        <w:t>,</w:t>
      </w:r>
      <w:r w:rsidRPr="00654E3B">
        <w:rPr>
          <w:rFonts w:cs="Times New Roman"/>
        </w:rPr>
        <w:t xml:space="preserve"> od kojih su neki već samostalno pokrenuli projekte energetske neovisnosti. </w:t>
      </w:r>
      <w:r w:rsidR="00A57321" w:rsidRPr="00654E3B">
        <w:rPr>
          <w:rFonts w:cs="Times New Roman"/>
        </w:rPr>
        <w:t>K</w:t>
      </w:r>
      <w:r w:rsidRPr="00654E3B">
        <w:rPr>
          <w:rFonts w:cs="Times New Roman"/>
        </w:rPr>
        <w:t>ao i u slučaju regionalnih i lokalnih zajednica</w:t>
      </w:r>
      <w:r w:rsidR="00142A10" w:rsidRPr="00654E3B">
        <w:rPr>
          <w:rFonts w:cs="Times New Roman"/>
        </w:rPr>
        <w:t>,</w:t>
      </w:r>
      <w:r w:rsidRPr="00654E3B">
        <w:rPr>
          <w:rFonts w:cs="Times New Roman"/>
        </w:rPr>
        <w:t xml:space="preserve"> prilikom planiranja razvoja infrastrukture na otocima</w:t>
      </w:r>
      <w:r w:rsidR="00142A10" w:rsidRPr="00654E3B">
        <w:rPr>
          <w:rFonts w:cs="Times New Roman"/>
        </w:rPr>
        <w:t>,</w:t>
      </w:r>
      <w:r w:rsidRPr="00654E3B">
        <w:rPr>
          <w:rFonts w:cs="Times New Roman"/>
        </w:rPr>
        <w:t xml:space="preserve"> </w:t>
      </w:r>
      <w:r w:rsidR="00A57321" w:rsidRPr="00654E3B">
        <w:rPr>
          <w:rFonts w:cs="Times New Roman"/>
        </w:rPr>
        <w:t xml:space="preserve">preporuka je </w:t>
      </w:r>
      <w:r w:rsidRPr="00654E3B">
        <w:rPr>
          <w:rFonts w:cs="Times New Roman"/>
        </w:rPr>
        <w:t>analizirati mogućnosti uspostave integriranih rješenja, a najviše s ciljem stvaranja energetske neovisnosti, odnosno otoka gotovo bez emisije CO</w:t>
      </w:r>
      <w:r w:rsidRPr="00654E3B">
        <w:rPr>
          <w:rFonts w:cs="Times New Roman"/>
          <w:vertAlign w:val="subscript"/>
        </w:rPr>
        <w:t>2</w:t>
      </w:r>
      <w:r w:rsidRPr="00654E3B">
        <w:rPr>
          <w:rFonts w:cs="Times New Roman"/>
        </w:rPr>
        <w:t xml:space="preserve">. To se najviše odnosi na proizvodnju energije, promet i otpad. Štoviše, </w:t>
      </w:r>
      <w:r w:rsidR="00A57321" w:rsidRPr="00654E3B">
        <w:rPr>
          <w:rFonts w:cs="Times New Roman"/>
        </w:rPr>
        <w:t xml:space="preserve">poželjno je </w:t>
      </w:r>
      <w:r w:rsidRPr="00654E3B">
        <w:rPr>
          <w:rFonts w:cs="Times New Roman"/>
        </w:rPr>
        <w:t xml:space="preserve"> uspostaviti čvršću suradnju između otoka radi razmjene iskustava na započetim projektima te u politiku razvoja </w:t>
      </w:r>
      <w:r w:rsidR="009B266E" w:rsidRPr="00654E3B">
        <w:rPr>
          <w:rFonts w:cs="Times New Roman"/>
        </w:rPr>
        <w:t xml:space="preserve">hrvatskih </w:t>
      </w:r>
      <w:r w:rsidRPr="00654E3B">
        <w:rPr>
          <w:rFonts w:cs="Times New Roman"/>
        </w:rPr>
        <w:t>otoka od strane nadležnog ministarstva ugraditi ciljeve niskougljičnog razvoja.</w:t>
      </w:r>
    </w:p>
    <w:p w:rsidR="007D4A93" w:rsidRPr="00654E3B" w:rsidRDefault="00EF0BEB" w:rsidP="00CF5E00">
      <w:pPr>
        <w:rPr>
          <w:rFonts w:cs="Times New Roman"/>
        </w:rPr>
      </w:pPr>
      <w:r w:rsidRPr="00654E3B">
        <w:rPr>
          <w:rFonts w:cs="Times New Roman"/>
        </w:rPr>
        <w:t xml:space="preserve">Jedan od mogućih izvora financiranja uspostave integriranih rješenja je mehanizam integralnog teritorijalnog ulaganja ITU (eng. </w:t>
      </w:r>
      <w:r w:rsidRPr="00654E3B">
        <w:rPr>
          <w:rFonts w:cs="Times New Roman"/>
          <w:i/>
        </w:rPr>
        <w:t>integrated territory investments</w:t>
      </w:r>
      <w:r w:rsidRPr="00654E3B">
        <w:rPr>
          <w:rFonts w:cs="Times New Roman"/>
        </w:rPr>
        <w:t>) strukturnih fondova</w:t>
      </w:r>
      <w:r w:rsidR="00142A10" w:rsidRPr="00654E3B">
        <w:rPr>
          <w:rFonts w:cs="Times New Roman"/>
        </w:rPr>
        <w:t>,</w:t>
      </w:r>
      <w:r w:rsidRPr="00654E3B">
        <w:rPr>
          <w:rFonts w:cs="Times New Roman"/>
        </w:rPr>
        <w:t xml:space="preserve"> koji državama članicama omogućuje provedbu međusektorske integrirane strategije razvoja na određenom teritoriju i kombinaciju ulaganja iz više prioritetnih područja, i to iz jednog ili više operativnih programa. </w:t>
      </w:r>
    </w:p>
    <w:p w:rsidR="007D4A93" w:rsidRPr="00654E3B" w:rsidRDefault="00EF0BEB" w:rsidP="00CF5E00">
      <w:pPr>
        <w:rPr>
          <w:rFonts w:cs="Times New Roman"/>
        </w:rPr>
      </w:pPr>
      <w:r w:rsidRPr="00654E3B">
        <w:rPr>
          <w:rFonts w:cs="Times New Roman"/>
        </w:rPr>
        <w:t>Nadležno tijelo</w:t>
      </w:r>
      <w:r w:rsidR="004010A3" w:rsidRPr="00654E3B">
        <w:rPr>
          <w:rFonts w:cs="Times New Roman"/>
        </w:rPr>
        <w:t xml:space="preserve"> za klimatsku politiku,</w:t>
      </w:r>
      <w:r w:rsidRPr="00654E3B">
        <w:rPr>
          <w:rFonts w:cs="Times New Roman"/>
        </w:rPr>
        <w:t xml:space="preserve"> Ministarstvo </w:t>
      </w:r>
      <w:r w:rsidR="005941DA" w:rsidRPr="00654E3B">
        <w:rPr>
          <w:rFonts w:cs="Times New Roman"/>
        </w:rPr>
        <w:t>gospodarstva i održivog razvoja</w:t>
      </w:r>
      <w:r w:rsidR="00142A10" w:rsidRPr="00654E3B">
        <w:rPr>
          <w:rFonts w:cs="Times New Roman"/>
        </w:rPr>
        <w:t>,</w:t>
      </w:r>
      <w:r w:rsidRPr="00654E3B">
        <w:rPr>
          <w:rFonts w:cs="Times New Roman"/>
        </w:rPr>
        <w:t xml:space="preserve"> </w:t>
      </w:r>
      <w:r w:rsidR="004010A3" w:rsidRPr="00654E3B">
        <w:rPr>
          <w:rFonts w:cs="Times New Roman"/>
        </w:rPr>
        <w:t xml:space="preserve">će u svojoj koordinativnoj ulozi </w:t>
      </w:r>
      <w:r w:rsidRPr="00654E3B">
        <w:rPr>
          <w:rFonts w:cs="Times New Roman"/>
        </w:rPr>
        <w:t xml:space="preserve">uspostaviti bolju povezanost i sinergijske učinke politika. Djelovanje se sve više pomiče na samostalne aktivnosti </w:t>
      </w:r>
      <w:r w:rsidR="005941DA" w:rsidRPr="00654E3B">
        <w:rPr>
          <w:rFonts w:cs="Times New Roman"/>
        </w:rPr>
        <w:t xml:space="preserve">jedinica </w:t>
      </w:r>
      <w:r w:rsidRPr="00654E3B">
        <w:rPr>
          <w:rFonts w:cs="Times New Roman"/>
        </w:rPr>
        <w:t xml:space="preserve">lokalnih </w:t>
      </w:r>
      <w:r w:rsidR="005941DA" w:rsidRPr="00654E3B">
        <w:rPr>
          <w:rFonts w:cs="Times New Roman"/>
        </w:rPr>
        <w:t>samo</w:t>
      </w:r>
      <w:r w:rsidRPr="00654E3B">
        <w:rPr>
          <w:rFonts w:cs="Times New Roman"/>
        </w:rPr>
        <w:t xml:space="preserve">uprava i gradova. Ambicioznije inicijative kao što su ugljično neutralni otoci, gradovi i slično treba podržati. </w:t>
      </w:r>
    </w:p>
    <w:p w:rsidR="007D4A93" w:rsidRPr="00654E3B" w:rsidRDefault="00EF0BEB" w:rsidP="00CF5E00">
      <w:pPr>
        <w:rPr>
          <w:rFonts w:cs="Times New Roman"/>
        </w:rPr>
      </w:pPr>
      <w:r w:rsidRPr="00654E3B">
        <w:rPr>
          <w:rFonts w:cs="Times New Roman"/>
        </w:rPr>
        <w:t>U gradskim središtima i zaštićenim prostorima kulturne baštine</w:t>
      </w:r>
      <w:r w:rsidR="00142A10" w:rsidRPr="00654E3B">
        <w:rPr>
          <w:rFonts w:cs="Times New Roman"/>
        </w:rPr>
        <w:t>,</w:t>
      </w:r>
      <w:r w:rsidRPr="00654E3B">
        <w:rPr>
          <w:rFonts w:cs="Times New Roman"/>
        </w:rPr>
        <w:t xml:space="preserve"> treba promicati centralizirane sustave grijanja i hlađenja. Fasadni plinski bojleri, </w:t>
      </w:r>
      <w:r w:rsidRPr="00654E3B">
        <w:rPr>
          <w:rFonts w:cs="Times New Roman"/>
          <w:i/>
        </w:rPr>
        <w:t>split</w:t>
      </w:r>
      <w:r w:rsidRPr="00654E3B">
        <w:rPr>
          <w:rFonts w:cs="Times New Roman"/>
        </w:rPr>
        <w:t xml:space="preserve"> klimatske jedinice, plinska brojila na pročeljima zgrada, električna brojila na pročeljima zgrada, nagrđuju urbani krajobraz, </w:t>
      </w:r>
      <w:r w:rsidR="00142A10" w:rsidRPr="00654E3B">
        <w:rPr>
          <w:rFonts w:cs="Times New Roman"/>
        </w:rPr>
        <w:t xml:space="preserve">te bi </w:t>
      </w:r>
      <w:r w:rsidRPr="00654E3B">
        <w:rPr>
          <w:rFonts w:cs="Times New Roman"/>
        </w:rPr>
        <w:t xml:space="preserve">urbanističkim planovima i zakonom o krajobrazu trebalo napraviti napredak u ovom pogledu. </w:t>
      </w:r>
    </w:p>
    <w:p w:rsidR="007D4A93" w:rsidRPr="00654E3B" w:rsidRDefault="00EF0BEB" w:rsidP="004D5D43">
      <w:pPr>
        <w:pStyle w:val="Heading1"/>
        <w:ind w:left="705" w:hanging="705"/>
        <w:rPr>
          <w:rFonts w:ascii="Times New Roman" w:hAnsi="Times New Roman" w:cs="Times New Roman"/>
        </w:rPr>
      </w:pPr>
      <w:bookmarkStart w:id="325" w:name="_Toc484159034"/>
      <w:bookmarkStart w:id="326" w:name="_Toc69810209"/>
      <w:r w:rsidRPr="00654E3B">
        <w:rPr>
          <w:rFonts w:ascii="Times New Roman" w:hAnsi="Times New Roman" w:cs="Times New Roman"/>
        </w:rPr>
        <w:t>12.</w:t>
      </w:r>
      <w:r w:rsidRPr="00654E3B">
        <w:rPr>
          <w:rFonts w:ascii="Times New Roman" w:hAnsi="Times New Roman" w:cs="Times New Roman"/>
        </w:rPr>
        <w:tab/>
        <w:t>NISKOUGLJIČNO GOSPODARSTVO I OBRASCI POSLOVANJA</w:t>
      </w:r>
      <w:bookmarkEnd w:id="325"/>
      <w:bookmarkEnd w:id="326"/>
      <w:r w:rsidRPr="00654E3B">
        <w:rPr>
          <w:rFonts w:ascii="Times New Roman" w:hAnsi="Times New Roman" w:cs="Times New Roman"/>
        </w:rPr>
        <w:t xml:space="preserve"> </w:t>
      </w:r>
    </w:p>
    <w:p w:rsidR="007D4A93" w:rsidRPr="00654E3B" w:rsidRDefault="00EF0BEB">
      <w:pPr>
        <w:keepNext/>
        <w:rPr>
          <w:rFonts w:cs="Times New Roman"/>
          <w:u w:val="single"/>
        </w:rPr>
      </w:pPr>
      <w:r w:rsidRPr="00654E3B">
        <w:rPr>
          <w:rFonts w:cs="Times New Roman"/>
          <w:u w:val="single"/>
        </w:rPr>
        <w:t>Razvoj kružnog gospodarstva</w:t>
      </w:r>
    </w:p>
    <w:p w:rsidR="007D4A93" w:rsidRPr="00654E3B" w:rsidRDefault="00EF0BEB">
      <w:pPr>
        <w:keepNext/>
        <w:rPr>
          <w:rFonts w:cs="Times New Roman"/>
        </w:rPr>
      </w:pPr>
      <w:r w:rsidRPr="00654E3B">
        <w:rPr>
          <w:rFonts w:cs="Times New Roman"/>
        </w:rPr>
        <w:t xml:space="preserve">Potrebno je provoditi politiku održive potrošnje i proizvodnje pod sloganom „s manje napraviti više i bolje“, potaknuti održive obrasce ponašanja i poslovanja u svim gospodarskim sektorima. Treba </w:t>
      </w:r>
      <w:r w:rsidRPr="00654E3B">
        <w:rPr>
          <w:rFonts w:cs="Times New Roman"/>
        </w:rPr>
        <w:lastRenderedPageBreak/>
        <w:t>povoditi koncept „životni ciklus proizvoda i usluga“ (LCA)</w:t>
      </w:r>
      <w:r w:rsidR="006249D1" w:rsidRPr="00654E3B">
        <w:rPr>
          <w:rFonts w:cs="Times New Roman"/>
        </w:rPr>
        <w:t>,</w:t>
      </w:r>
      <w:r w:rsidRPr="00654E3B">
        <w:rPr>
          <w:rFonts w:cs="Times New Roman"/>
        </w:rPr>
        <w:t xml:space="preserve"> koji prati okolišni otisak proizvoda i usluga, a utemeljen je na znanstvenim pokazateljima. Cilj je smanjiti potrošnju prirodnih dobara, smanjiti nastanak opasnih i toksičnih tvari, smanjiti emisije u zrak, vodu i tlo te smanjiti ili spriječiti nastajanje otpada na mjestu nastanka. </w:t>
      </w:r>
    </w:p>
    <w:p w:rsidR="007D4A93" w:rsidRPr="00654E3B" w:rsidRDefault="00EF0BEB">
      <w:pPr>
        <w:rPr>
          <w:rFonts w:cs="Times New Roman"/>
        </w:rPr>
      </w:pPr>
      <w:r w:rsidRPr="00654E3B">
        <w:rPr>
          <w:rFonts w:cs="Times New Roman"/>
        </w:rPr>
        <w:t>Na Konferenciji</w:t>
      </w:r>
      <w:r w:rsidR="006249D1" w:rsidRPr="00654E3B">
        <w:rPr>
          <w:rFonts w:cs="Times New Roman"/>
        </w:rPr>
        <w:t xml:space="preserve"> </w:t>
      </w:r>
      <w:r w:rsidRPr="00654E3B">
        <w:rPr>
          <w:rFonts w:cs="Times New Roman"/>
        </w:rPr>
        <w:t>Ujedinjenih naroda</w:t>
      </w:r>
      <w:r w:rsidR="006249D1" w:rsidRPr="00654E3B">
        <w:rPr>
          <w:rFonts w:cs="Times New Roman"/>
        </w:rPr>
        <w:t xml:space="preserve"> </w:t>
      </w:r>
      <w:r w:rsidRPr="00654E3B">
        <w:rPr>
          <w:rFonts w:cs="Times New Roman"/>
        </w:rPr>
        <w:t>o održivom razvoju Rio+20</w:t>
      </w:r>
      <w:r w:rsidR="006249D1" w:rsidRPr="00654E3B">
        <w:rPr>
          <w:rFonts w:cs="Times New Roman"/>
        </w:rPr>
        <w:t>,</w:t>
      </w:r>
      <w:r w:rsidRPr="00654E3B">
        <w:rPr>
          <w:rFonts w:cs="Times New Roman"/>
        </w:rPr>
        <w:t xml:space="preserve"> dan je novi zamah politici održive potrošnje i proizvodnje te je predviđeno da se razvijaju dobrovoljni programi, projekti i inicijative 10- godišnji okvir za programe održive potrošnje i proizvodnje (10YFP on SCP). Identificirano je šest područja za razvoj programa koje će provoditi Republika Hrvatska, a </w:t>
      </w:r>
      <w:r w:rsidR="004010A3" w:rsidRPr="00654E3B">
        <w:rPr>
          <w:rFonts w:cs="Times New Roman"/>
        </w:rPr>
        <w:t>doprinose provedbi</w:t>
      </w:r>
      <w:r w:rsidRPr="00654E3B">
        <w:rPr>
          <w:rFonts w:cs="Times New Roman"/>
        </w:rPr>
        <w:t xml:space="preserve"> Niskougljičn</w:t>
      </w:r>
      <w:r w:rsidR="004010A3" w:rsidRPr="00654E3B">
        <w:rPr>
          <w:rFonts w:cs="Times New Roman"/>
        </w:rPr>
        <w:t>e</w:t>
      </w:r>
      <w:r w:rsidRPr="00654E3B">
        <w:rPr>
          <w:rFonts w:cs="Times New Roman"/>
        </w:rPr>
        <w:t xml:space="preserve"> strategij</w:t>
      </w:r>
      <w:r w:rsidR="004010A3" w:rsidRPr="00654E3B">
        <w:rPr>
          <w:rFonts w:cs="Times New Roman"/>
        </w:rPr>
        <w:t>e</w:t>
      </w:r>
      <w:r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informacije za potrošače</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održivi životni stilovi i obrazovanje</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održiva javna nabava</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održive zgrade i izgradnja</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održivi turizam, uključujući ekoturizam</w:t>
      </w:r>
      <w:r w:rsidR="006249D1" w:rsidRPr="00654E3B">
        <w:rPr>
          <w:rFonts w:cs="Times New Roman"/>
        </w:rPr>
        <w:t>;</w:t>
      </w:r>
    </w:p>
    <w:p w:rsidR="007D4A93" w:rsidRPr="00654E3B" w:rsidRDefault="00EF0BEB" w:rsidP="000C6795">
      <w:pPr>
        <w:pStyle w:val="ListParagraph"/>
        <w:numPr>
          <w:ilvl w:val="0"/>
          <w:numId w:val="21"/>
        </w:numPr>
        <w:rPr>
          <w:rFonts w:cs="Times New Roman"/>
        </w:rPr>
      </w:pPr>
      <w:r w:rsidRPr="00654E3B">
        <w:rPr>
          <w:rFonts w:cs="Times New Roman"/>
        </w:rPr>
        <w:t>održiva hrana.</w:t>
      </w:r>
    </w:p>
    <w:p w:rsidR="007D4A93" w:rsidRPr="00654E3B" w:rsidRDefault="00EF0BEB">
      <w:pPr>
        <w:rPr>
          <w:rFonts w:cs="Times New Roman"/>
        </w:rPr>
      </w:pPr>
      <w:r w:rsidRPr="00654E3B">
        <w:rPr>
          <w:rFonts w:cs="Times New Roman"/>
        </w:rPr>
        <w:t xml:space="preserve">Potrebno je nastaviti s aktivnostima koje su </w:t>
      </w:r>
      <w:r w:rsidR="006249D1" w:rsidRPr="00654E3B">
        <w:rPr>
          <w:rFonts w:cs="Times New Roman"/>
        </w:rPr>
        <w:t>započete</w:t>
      </w:r>
      <w:r w:rsidRPr="00654E3B">
        <w:rPr>
          <w:rFonts w:cs="Times New Roman"/>
        </w:rPr>
        <w:t xml:space="preserve">, </w:t>
      </w:r>
      <w:r w:rsidR="006249D1" w:rsidRPr="00654E3B">
        <w:rPr>
          <w:rFonts w:cs="Times New Roman"/>
        </w:rPr>
        <w:t xml:space="preserve">a </w:t>
      </w:r>
      <w:r w:rsidRPr="00654E3B">
        <w:rPr>
          <w:rFonts w:cs="Times New Roman"/>
        </w:rPr>
        <w:t>one sve mogu biti i specifično usmjerene na snažnije uvažavanje, promidžbu i upotrebu ugljičnog otiska:</w:t>
      </w:r>
    </w:p>
    <w:p w:rsidR="007D4A93" w:rsidRPr="00654E3B" w:rsidRDefault="00EF0BEB" w:rsidP="000C6795">
      <w:pPr>
        <w:pStyle w:val="ListParagraph"/>
        <w:numPr>
          <w:ilvl w:val="0"/>
          <w:numId w:val="22"/>
        </w:numPr>
        <w:rPr>
          <w:rFonts w:cs="Times New Roman"/>
        </w:rPr>
      </w:pPr>
      <w:r w:rsidRPr="00654E3B">
        <w:rPr>
          <w:rFonts w:cs="Times New Roman"/>
        </w:rPr>
        <w:t>poticanje ekološkog označavanja</w:t>
      </w:r>
      <w:r w:rsidR="006249D1" w:rsidRPr="00654E3B">
        <w:rPr>
          <w:rFonts w:cs="Times New Roman"/>
        </w:rPr>
        <w:t>;</w:t>
      </w:r>
    </w:p>
    <w:p w:rsidR="007D4A93" w:rsidRPr="00654E3B" w:rsidRDefault="00EF0BEB" w:rsidP="000C6795">
      <w:pPr>
        <w:pStyle w:val="ListParagraph"/>
        <w:numPr>
          <w:ilvl w:val="0"/>
          <w:numId w:val="22"/>
        </w:numPr>
        <w:rPr>
          <w:rFonts w:cs="Times New Roman"/>
        </w:rPr>
      </w:pPr>
      <w:r w:rsidRPr="00654E3B">
        <w:rPr>
          <w:rFonts w:cs="Times New Roman"/>
        </w:rPr>
        <w:t>zelena javna nabava</w:t>
      </w:r>
      <w:r w:rsidR="006249D1" w:rsidRPr="00654E3B">
        <w:rPr>
          <w:rFonts w:cs="Times New Roman"/>
        </w:rPr>
        <w:t>;</w:t>
      </w:r>
    </w:p>
    <w:p w:rsidR="007D4A93" w:rsidRPr="00654E3B" w:rsidRDefault="00EF0BEB" w:rsidP="000C6795">
      <w:pPr>
        <w:pStyle w:val="ListParagraph"/>
        <w:numPr>
          <w:ilvl w:val="0"/>
          <w:numId w:val="22"/>
        </w:numPr>
        <w:rPr>
          <w:rFonts w:cs="Times New Roman"/>
        </w:rPr>
      </w:pPr>
      <w:r w:rsidRPr="00654E3B">
        <w:rPr>
          <w:rFonts w:cs="Times New Roman"/>
        </w:rPr>
        <w:t>poticanje ekološkog označavanja i kontrole u poljoprivredi</w:t>
      </w:r>
      <w:r w:rsidR="006249D1" w:rsidRPr="00654E3B">
        <w:rPr>
          <w:rFonts w:cs="Times New Roman"/>
        </w:rPr>
        <w:t>;</w:t>
      </w:r>
    </w:p>
    <w:p w:rsidR="007D4A93" w:rsidRPr="00654E3B" w:rsidRDefault="00EF0BEB" w:rsidP="000C6795">
      <w:pPr>
        <w:pStyle w:val="ListParagraph"/>
        <w:numPr>
          <w:ilvl w:val="0"/>
          <w:numId w:val="22"/>
        </w:numPr>
        <w:rPr>
          <w:rFonts w:cs="Times New Roman"/>
        </w:rPr>
      </w:pPr>
      <w:r w:rsidRPr="00654E3B">
        <w:rPr>
          <w:rFonts w:cs="Times New Roman"/>
        </w:rPr>
        <w:t>energetska certifikacija zgrada</w:t>
      </w:r>
      <w:r w:rsidR="006249D1" w:rsidRPr="00654E3B">
        <w:rPr>
          <w:rFonts w:cs="Times New Roman"/>
        </w:rPr>
        <w:t>;</w:t>
      </w:r>
    </w:p>
    <w:p w:rsidR="007D4A93" w:rsidRPr="00654E3B" w:rsidRDefault="00EF0BEB" w:rsidP="000C6795">
      <w:pPr>
        <w:pStyle w:val="ListParagraph"/>
        <w:numPr>
          <w:ilvl w:val="0"/>
          <w:numId w:val="22"/>
        </w:numPr>
        <w:rPr>
          <w:rFonts w:cs="Times New Roman"/>
        </w:rPr>
      </w:pPr>
      <w:r w:rsidRPr="00654E3B">
        <w:rPr>
          <w:rFonts w:cs="Times New Roman"/>
        </w:rPr>
        <w:t xml:space="preserve">održivi turizam i destinacije. </w:t>
      </w:r>
    </w:p>
    <w:p w:rsidR="007D4A93" w:rsidRPr="00654E3B" w:rsidRDefault="00EF0BEB">
      <w:pPr>
        <w:rPr>
          <w:rFonts w:cs="Times New Roman"/>
          <w:u w:val="single"/>
        </w:rPr>
      </w:pPr>
      <w:r w:rsidRPr="00654E3B">
        <w:rPr>
          <w:rFonts w:cs="Times New Roman"/>
          <w:u w:val="single"/>
        </w:rPr>
        <w:t xml:space="preserve">Poslovno upravljanje načelima niskougljičnog razvoja </w:t>
      </w:r>
    </w:p>
    <w:p w:rsidR="007D4A93" w:rsidRPr="00654E3B" w:rsidRDefault="00EF0BEB">
      <w:pPr>
        <w:rPr>
          <w:rFonts w:cs="Times New Roman"/>
        </w:rPr>
      </w:pPr>
      <w:r w:rsidRPr="00654E3B">
        <w:rPr>
          <w:rFonts w:cs="Times New Roman"/>
        </w:rPr>
        <w:t>Primjena načela niskougljičnog razvoja u poslovnim organizacijama je uglavnom dobrovoljna, što znači da vodstva organizacija primjenjuju ova načela</w:t>
      </w:r>
      <w:r w:rsidR="006249D1" w:rsidRPr="00654E3B">
        <w:rPr>
          <w:rFonts w:cs="Times New Roman"/>
        </w:rPr>
        <w:t>,</w:t>
      </w:r>
      <w:r w:rsidRPr="00654E3B">
        <w:rPr>
          <w:rFonts w:cs="Times New Roman"/>
        </w:rPr>
        <w:t xml:space="preserve"> očekujući da će dugoročno ostvariti određenu korist. Izravnu korist mogu ostvariti primjerice primjenom međunarodne norme za upravljanje energijom</w:t>
      </w:r>
      <w:r w:rsidR="006249D1" w:rsidRPr="00654E3B">
        <w:rPr>
          <w:rFonts w:cs="Times New Roman"/>
        </w:rPr>
        <w:t>,</w:t>
      </w:r>
      <w:r w:rsidRPr="00654E3B">
        <w:rPr>
          <w:rFonts w:cs="Times New Roman"/>
        </w:rPr>
        <w:t xml:space="preserve"> čime smanjuju troškove energenata ili pak certifikacijom proizvoda radi stjecanja prednosti u postupcima javne nabave</w:t>
      </w:r>
      <w:r w:rsidR="006249D1" w:rsidRPr="00654E3B">
        <w:rPr>
          <w:rFonts w:cs="Times New Roman"/>
        </w:rPr>
        <w:t>,</w:t>
      </w:r>
      <w:r w:rsidRPr="00654E3B">
        <w:rPr>
          <w:rFonts w:cs="Times New Roman"/>
        </w:rPr>
        <w:t xml:space="preserve"> u kojima se svojstvo zelenih usluga i proizvoda sve češće postavlja kao kriterij pri vrednovanju ponude. S druge strane, društveno odgovorno poslovanje, temeljeno također na odgovarajućim međunarodnim normama i smjernicama, ne donosi izravnu materijalnu korist, nego stvara u javnosti pozitivnu sliku o organizaciji</w:t>
      </w:r>
      <w:r w:rsidR="006249D1" w:rsidRPr="00654E3B">
        <w:rPr>
          <w:rFonts w:cs="Times New Roman"/>
        </w:rPr>
        <w:t>,</w:t>
      </w:r>
      <w:r w:rsidRPr="00654E3B">
        <w:rPr>
          <w:rFonts w:cs="Times New Roman"/>
        </w:rPr>
        <w:t xml:space="preserve"> čime se onda koristi mogu ostvariti posredno.</w:t>
      </w:r>
    </w:p>
    <w:p w:rsidR="007D4A93" w:rsidRPr="00654E3B" w:rsidRDefault="00EF0BEB">
      <w:pPr>
        <w:rPr>
          <w:rFonts w:cs="Times New Roman"/>
        </w:rPr>
      </w:pPr>
      <w:r w:rsidRPr="00654E3B">
        <w:rPr>
          <w:rFonts w:cs="Times New Roman"/>
        </w:rPr>
        <w:t>Zbog toga uspjeh ove mjere ovisi o dva elementa: prvenstveno o jačanju svijesti i edukaciji osoba odgovornih za upravljanje organizacijama i donošenje ključnih poslovnih odluka te o stvaranju poticajnog poslovnog okruženja</w:t>
      </w:r>
      <w:r w:rsidR="006249D1" w:rsidRPr="00654E3B">
        <w:rPr>
          <w:rFonts w:cs="Times New Roman"/>
        </w:rPr>
        <w:t>,</w:t>
      </w:r>
      <w:r w:rsidRPr="00654E3B">
        <w:rPr>
          <w:rFonts w:cs="Times New Roman"/>
        </w:rPr>
        <w:t xml:space="preserve"> u kojem će organizacije prepoznati korist od primjene načela niskougljičnog razvoja, s time da ta korist nije nužno materijalna ili se barem tek dugoročno može materijalizirati.</w:t>
      </w:r>
    </w:p>
    <w:p w:rsidR="007D4A93" w:rsidRPr="00654E3B" w:rsidRDefault="00EF0BEB">
      <w:pPr>
        <w:rPr>
          <w:rFonts w:cs="Times New Roman"/>
        </w:rPr>
      </w:pPr>
      <w:r w:rsidRPr="00654E3B">
        <w:rPr>
          <w:rFonts w:cs="Times New Roman"/>
        </w:rPr>
        <w:t>Inicijalno se može analizirati mogućnost sufinanciranja troškova prilagodbe poslovanja</w:t>
      </w:r>
      <w:r w:rsidR="006249D1" w:rsidRPr="00654E3B">
        <w:rPr>
          <w:rFonts w:cs="Times New Roman"/>
        </w:rPr>
        <w:t>,</w:t>
      </w:r>
      <w:r w:rsidRPr="00654E3B">
        <w:rPr>
          <w:rFonts w:cs="Times New Roman"/>
        </w:rPr>
        <w:t xml:space="preserve"> onim međunarodnim smjernicama i normama koje rezultiraju učincima u skladu s načelima niskougljičnog razvoja. To može biti usklađivanje organizacije sa zahtjevima za gospodarenje energijom i zaštitom okoliša ili sa zahtjevima za stjecanje znakova integrirane proizvodnje i ekološke proizvodnje. Podupiranje se odnosi na uvođenje sustava upravljanja poslovanjem, održavanjem, imovinom, sve što može povećati resursnu učinkovitost. </w:t>
      </w:r>
    </w:p>
    <w:p w:rsidR="007D4A93" w:rsidRPr="00654E3B" w:rsidRDefault="00EF0BEB">
      <w:pPr>
        <w:rPr>
          <w:rFonts w:cs="Times New Roman"/>
          <w:u w:val="single"/>
        </w:rPr>
      </w:pPr>
      <w:r w:rsidRPr="00654E3B">
        <w:rPr>
          <w:rFonts w:cs="Times New Roman"/>
          <w:u w:val="single"/>
        </w:rPr>
        <w:t xml:space="preserve">Promicanje proizvoda i usluga ugljičnog otiska   </w:t>
      </w:r>
    </w:p>
    <w:p w:rsidR="007D4A93" w:rsidRPr="00654E3B" w:rsidRDefault="00EF0BEB">
      <w:pPr>
        <w:rPr>
          <w:rFonts w:cs="Times New Roman"/>
        </w:rPr>
      </w:pPr>
      <w:r w:rsidRPr="00654E3B">
        <w:rPr>
          <w:rFonts w:cs="Times New Roman"/>
        </w:rPr>
        <w:t>Ova mjera povodi se u snažnoj sinergiji sa mjerom zelene javne nabave:</w:t>
      </w:r>
    </w:p>
    <w:p w:rsidR="007D4A93" w:rsidRPr="00654E3B" w:rsidRDefault="00EF0BEB" w:rsidP="000C6795">
      <w:pPr>
        <w:pStyle w:val="ListParagraph"/>
        <w:numPr>
          <w:ilvl w:val="0"/>
          <w:numId w:val="23"/>
        </w:numPr>
        <w:rPr>
          <w:rFonts w:cs="Times New Roman"/>
        </w:rPr>
      </w:pPr>
      <w:r w:rsidRPr="00654E3B">
        <w:rPr>
          <w:rFonts w:cs="Times New Roman"/>
        </w:rPr>
        <w:t>studijska istraživanja, izrada baza podataka, modela, metoda za izračun i uspostavu shema za ugljični otisak</w:t>
      </w:r>
      <w:r w:rsidR="006249D1" w:rsidRPr="00654E3B">
        <w:rPr>
          <w:rFonts w:cs="Times New Roman"/>
        </w:rPr>
        <w:t>;</w:t>
      </w:r>
    </w:p>
    <w:p w:rsidR="007D4A93" w:rsidRPr="00654E3B" w:rsidRDefault="00EF0BEB" w:rsidP="000C6795">
      <w:pPr>
        <w:pStyle w:val="ListParagraph"/>
        <w:numPr>
          <w:ilvl w:val="0"/>
          <w:numId w:val="23"/>
        </w:numPr>
        <w:rPr>
          <w:rFonts w:cs="Times New Roman"/>
        </w:rPr>
      </w:pPr>
      <w:r w:rsidRPr="00654E3B">
        <w:rPr>
          <w:rFonts w:cs="Times New Roman"/>
        </w:rPr>
        <w:t>izračunavanje ugljičnog otiska proizvoda i usluga na hrvatskom tržištu</w:t>
      </w:r>
      <w:r w:rsidR="006249D1" w:rsidRPr="00654E3B">
        <w:rPr>
          <w:rFonts w:cs="Times New Roman"/>
        </w:rPr>
        <w:t>;</w:t>
      </w:r>
    </w:p>
    <w:p w:rsidR="007D4A93" w:rsidRPr="00654E3B" w:rsidRDefault="00EF0BEB" w:rsidP="000C6795">
      <w:pPr>
        <w:pStyle w:val="ListParagraph"/>
        <w:numPr>
          <w:ilvl w:val="0"/>
          <w:numId w:val="23"/>
        </w:numPr>
        <w:rPr>
          <w:rFonts w:cs="Times New Roman"/>
        </w:rPr>
      </w:pPr>
      <w:r w:rsidRPr="00654E3B">
        <w:rPr>
          <w:rFonts w:cs="Times New Roman"/>
        </w:rPr>
        <w:lastRenderedPageBreak/>
        <w:t>poticanje projekata uspostave neobveznih shema označavanja proizvoda i usluga ugljičnog i okolišnog otiska</w:t>
      </w:r>
      <w:r w:rsidR="006249D1" w:rsidRPr="00654E3B">
        <w:rPr>
          <w:rFonts w:cs="Times New Roman"/>
        </w:rPr>
        <w:t>;</w:t>
      </w:r>
    </w:p>
    <w:p w:rsidR="007D4A93" w:rsidRPr="00654E3B" w:rsidRDefault="00EF0BEB" w:rsidP="000C6795">
      <w:pPr>
        <w:pStyle w:val="ListParagraph"/>
        <w:numPr>
          <w:ilvl w:val="0"/>
          <w:numId w:val="23"/>
        </w:numPr>
        <w:rPr>
          <w:rFonts w:cs="Times New Roman"/>
        </w:rPr>
      </w:pPr>
      <w:r w:rsidRPr="00654E3B">
        <w:rPr>
          <w:rFonts w:cs="Times New Roman"/>
        </w:rPr>
        <w:t>poticanje provedbe sheme označavanja i ugljičnog otiska i njezinih korisnika</w:t>
      </w:r>
      <w:r w:rsidR="006249D1" w:rsidRPr="00654E3B">
        <w:rPr>
          <w:rFonts w:cs="Times New Roman"/>
        </w:rPr>
        <w:t>;</w:t>
      </w:r>
    </w:p>
    <w:p w:rsidR="007D4A93" w:rsidRPr="00654E3B" w:rsidRDefault="00EF0BEB" w:rsidP="000C6795">
      <w:pPr>
        <w:pStyle w:val="ListParagraph"/>
        <w:numPr>
          <w:ilvl w:val="0"/>
          <w:numId w:val="23"/>
        </w:numPr>
        <w:rPr>
          <w:rFonts w:cs="Times New Roman"/>
        </w:rPr>
      </w:pPr>
      <w:r w:rsidRPr="00654E3B">
        <w:rPr>
          <w:rFonts w:cs="Times New Roman"/>
        </w:rPr>
        <w:t>raspoznavanje hrvatskih izvoznih proizvoda s mogućim brendom ugljičnog otiska.</w:t>
      </w:r>
    </w:p>
    <w:p w:rsidR="007D4A93" w:rsidRPr="00654E3B" w:rsidRDefault="00EF0BEB">
      <w:pPr>
        <w:rPr>
          <w:rFonts w:cs="Times New Roman"/>
          <w:u w:val="single"/>
        </w:rPr>
      </w:pPr>
      <w:r w:rsidRPr="00654E3B">
        <w:rPr>
          <w:rFonts w:cs="Times New Roman"/>
          <w:u w:val="single"/>
        </w:rPr>
        <w:t xml:space="preserve">Zelena i niskougljična nabava </w:t>
      </w:r>
    </w:p>
    <w:p w:rsidR="00AB40C9" w:rsidRPr="00654E3B" w:rsidRDefault="00EF0BEB">
      <w:pPr>
        <w:rPr>
          <w:rFonts w:cs="Times New Roman"/>
        </w:rPr>
      </w:pPr>
      <w:r w:rsidRPr="00654E3B">
        <w:rPr>
          <w:rFonts w:cs="Times New Roman"/>
        </w:rPr>
        <w:t>Drugi Nacionalni akcijski plan za zelenu javnu nabavu</w:t>
      </w:r>
      <w:r w:rsidR="006249D1" w:rsidRPr="00654E3B">
        <w:rPr>
          <w:rFonts w:cs="Times New Roman"/>
        </w:rPr>
        <w:t>,</w:t>
      </w:r>
      <w:r w:rsidRPr="00654E3B">
        <w:rPr>
          <w:rFonts w:cs="Times New Roman"/>
        </w:rPr>
        <w:t xml:space="preserve"> potrebno je proširiti ciljevima s obzirom na specifične zahtjeve niskougljičnog razvoja. U njemu je potrebno definirati skupine proizvoda i usluga</w:t>
      </w:r>
      <w:r w:rsidR="006249D1" w:rsidRPr="00654E3B">
        <w:rPr>
          <w:rFonts w:cs="Times New Roman"/>
        </w:rPr>
        <w:t>,</w:t>
      </w:r>
      <w:r w:rsidRPr="00654E3B">
        <w:rPr>
          <w:rFonts w:cs="Times New Roman"/>
        </w:rPr>
        <w:t xml:space="preserve"> za koje se propisuje cilj niskougljične javne nabave i kvantificirati ciljeve. Prije donošenja Drugog Nacionalnog akcijskog plana</w:t>
      </w:r>
      <w:r w:rsidR="006249D1" w:rsidRPr="00654E3B">
        <w:rPr>
          <w:rFonts w:cs="Times New Roman"/>
        </w:rPr>
        <w:t>,</w:t>
      </w:r>
      <w:r w:rsidRPr="00654E3B">
        <w:rPr>
          <w:rFonts w:cs="Times New Roman"/>
        </w:rPr>
        <w:t xml:space="preserve"> potrebno je potica</w:t>
      </w:r>
      <w:r w:rsidR="00A62CB2" w:rsidRPr="00654E3B">
        <w:rPr>
          <w:rFonts w:cs="Times New Roman"/>
        </w:rPr>
        <w:t>ti</w:t>
      </w:r>
      <w:r w:rsidRPr="00654E3B">
        <w:rPr>
          <w:rFonts w:cs="Times New Roman"/>
        </w:rPr>
        <w:t xml:space="preserve"> zelene i niskougljične nabave u privatnom sektoru te u javnom sektoru za postupke jednostavne nabave.</w:t>
      </w:r>
    </w:p>
    <w:p w:rsidR="007D4A93" w:rsidRPr="00654E3B" w:rsidRDefault="00EF0BEB">
      <w:pPr>
        <w:pStyle w:val="Heading1"/>
        <w:rPr>
          <w:rFonts w:ascii="Times New Roman" w:hAnsi="Times New Roman" w:cs="Times New Roman"/>
        </w:rPr>
      </w:pPr>
      <w:bookmarkStart w:id="327" w:name="_Toc484159035"/>
      <w:bookmarkStart w:id="328" w:name="_Toc69810210"/>
      <w:r w:rsidRPr="00654E3B">
        <w:rPr>
          <w:rFonts w:ascii="Times New Roman" w:hAnsi="Times New Roman" w:cs="Times New Roman"/>
        </w:rPr>
        <w:t>13.</w:t>
      </w:r>
      <w:r w:rsidRPr="00654E3B">
        <w:rPr>
          <w:rFonts w:ascii="Times New Roman" w:hAnsi="Times New Roman" w:cs="Times New Roman"/>
        </w:rPr>
        <w:tab/>
        <w:t>MEĐUNARODNA SURADNJA</w:t>
      </w:r>
      <w:bookmarkEnd w:id="327"/>
      <w:bookmarkEnd w:id="328"/>
    </w:p>
    <w:p w:rsidR="007D4A93" w:rsidRPr="00654E3B" w:rsidRDefault="007D4A93">
      <w:pPr>
        <w:rPr>
          <w:rFonts w:cs="Times New Roman"/>
        </w:rPr>
      </w:pPr>
    </w:p>
    <w:p w:rsidR="007D4A93" w:rsidRPr="00654E3B" w:rsidRDefault="00EF0BEB">
      <w:pPr>
        <w:pStyle w:val="NormalWeb"/>
        <w:rPr>
          <w:rFonts w:cs="Times New Roman"/>
        </w:rPr>
      </w:pPr>
      <w:r w:rsidRPr="00654E3B">
        <w:rPr>
          <w:rFonts w:cs="Times New Roman"/>
        </w:rPr>
        <w:t>Temeljni princip UNFCCC-a je solidarnost država i preuzimanje zajedničke, ali različite obveze, sukladno mogućnostima. Globalno tržište proizvoda postaje sve više tržišno povezano, u EU tržište električne energije i plina postaje sve više zajedničko</w:t>
      </w:r>
      <w:r w:rsidR="006249D1" w:rsidRPr="00654E3B">
        <w:rPr>
          <w:rFonts w:cs="Times New Roman"/>
        </w:rPr>
        <w:t>,</w:t>
      </w:r>
      <w:r w:rsidRPr="00654E3B">
        <w:rPr>
          <w:rFonts w:cs="Times New Roman"/>
        </w:rPr>
        <w:t xml:space="preserve"> što kupcima daje veće mogućnosti, niže cijene i sigurniju opskrbu. Mnoge aktivnosti i projekti koji pomažu smanjenju emisije</w:t>
      </w:r>
      <w:r w:rsidR="006249D1" w:rsidRPr="00654E3B">
        <w:rPr>
          <w:rFonts w:cs="Times New Roman"/>
        </w:rPr>
        <w:t>,</w:t>
      </w:r>
      <w:r w:rsidRPr="00654E3B">
        <w:rPr>
          <w:rFonts w:cs="Times New Roman"/>
        </w:rPr>
        <w:t xml:space="preserve"> mogu se provesti efikasnije uz međunarodnu suradnju. Europska politika potiče udruživanje, prijenos zelenih certifikata i prioritetno financira projekte koji ostvaruju suradnju i udružuju kapital u investicijama. </w:t>
      </w:r>
    </w:p>
    <w:p w:rsidR="007D4A93" w:rsidRPr="00654E3B" w:rsidRDefault="00EF0BEB">
      <w:pPr>
        <w:pStyle w:val="NormalWeb"/>
        <w:rPr>
          <w:rFonts w:cs="Times New Roman"/>
        </w:rPr>
      </w:pPr>
      <w:r w:rsidRPr="00654E3B">
        <w:rPr>
          <w:rFonts w:cs="Times New Roman"/>
        </w:rPr>
        <w:t xml:space="preserve">UNFCCC i Pariški sporazum navode obvezu suradnje te se navodi da će </w:t>
      </w:r>
      <w:r w:rsidR="00F776E4" w:rsidRPr="00654E3B">
        <w:rPr>
          <w:rFonts w:cs="Times New Roman"/>
        </w:rPr>
        <w:t>s</w:t>
      </w:r>
      <w:r w:rsidRPr="00654E3B">
        <w:rPr>
          <w:rFonts w:cs="Times New Roman"/>
        </w:rPr>
        <w:t>tranke</w:t>
      </w:r>
      <w:r w:rsidR="002B1B53" w:rsidRPr="00654E3B">
        <w:rPr>
          <w:rFonts w:cs="Times New Roman"/>
        </w:rPr>
        <w:t>,</w:t>
      </w:r>
      <w:r w:rsidRPr="00654E3B">
        <w:rPr>
          <w:rFonts w:cs="Times New Roman"/>
        </w:rPr>
        <w:t xml:space="preserve"> koje su razvijene zemlje svijeta</w:t>
      </w:r>
      <w:r w:rsidR="002B1B53" w:rsidRPr="00654E3B">
        <w:rPr>
          <w:rFonts w:cs="Times New Roman"/>
        </w:rPr>
        <w:t>,</w:t>
      </w:r>
      <w:r w:rsidRPr="00654E3B">
        <w:rPr>
          <w:rFonts w:cs="Times New Roman"/>
        </w:rPr>
        <w:t xml:space="preserve"> pomagati </w:t>
      </w:r>
      <w:r w:rsidR="00F776E4" w:rsidRPr="00654E3B">
        <w:rPr>
          <w:rFonts w:cs="Times New Roman"/>
        </w:rPr>
        <w:t>s</w:t>
      </w:r>
      <w:r w:rsidRPr="00654E3B">
        <w:rPr>
          <w:rFonts w:cs="Times New Roman"/>
        </w:rPr>
        <w:t>trankama, koje su zemlje u razvoju u potpori za mjere izgradnj</w:t>
      </w:r>
      <w:r w:rsidR="00F776E4" w:rsidRPr="00654E3B">
        <w:rPr>
          <w:rFonts w:cs="Times New Roman"/>
        </w:rPr>
        <w:t>e</w:t>
      </w:r>
      <w:r w:rsidRPr="00654E3B">
        <w:rPr>
          <w:rFonts w:cs="Times New Roman"/>
        </w:rPr>
        <w:t xml:space="preserve"> kapaciteta za ublažavanje klimatskih promjena i prilagodb</w:t>
      </w:r>
      <w:r w:rsidR="00F776E4" w:rsidRPr="00654E3B">
        <w:rPr>
          <w:rFonts w:cs="Times New Roman"/>
        </w:rPr>
        <w:t>u</w:t>
      </w:r>
      <w:r w:rsidRPr="00654E3B">
        <w:rPr>
          <w:rFonts w:cs="Times New Roman"/>
        </w:rPr>
        <w:t xml:space="preserve"> klimatsk</w:t>
      </w:r>
      <w:r w:rsidR="00F776E4" w:rsidRPr="00654E3B">
        <w:rPr>
          <w:rFonts w:cs="Times New Roman"/>
        </w:rPr>
        <w:t>im</w:t>
      </w:r>
      <w:r w:rsidRPr="00654E3B">
        <w:rPr>
          <w:rFonts w:cs="Times New Roman"/>
        </w:rPr>
        <w:t xml:space="preserve"> promjen</w:t>
      </w:r>
      <w:r w:rsidR="00F776E4" w:rsidRPr="00654E3B">
        <w:rPr>
          <w:rFonts w:cs="Times New Roman"/>
        </w:rPr>
        <w:t>ama</w:t>
      </w:r>
      <w:r w:rsidRPr="00654E3B">
        <w:rPr>
          <w:rFonts w:cs="Times New Roman"/>
        </w:rPr>
        <w:t>. Republika Hrvatska članstvom u EU ulazi u kategoriju razvijenih zemalja svijeta te kroz nacionalnu politiku međunarodne razvojne pomoći</w:t>
      </w:r>
      <w:r w:rsidR="002B1B53" w:rsidRPr="00654E3B">
        <w:rPr>
          <w:rFonts w:cs="Times New Roman"/>
        </w:rPr>
        <w:t>,</w:t>
      </w:r>
      <w:r w:rsidRPr="00654E3B">
        <w:rPr>
          <w:rFonts w:cs="Times New Roman"/>
        </w:rPr>
        <w:t xml:space="preserve"> treba razvijati programe pomoći odabranim </w:t>
      </w:r>
      <w:r w:rsidR="00F776E4" w:rsidRPr="00654E3B">
        <w:rPr>
          <w:rFonts w:cs="Times New Roman"/>
        </w:rPr>
        <w:t>s</w:t>
      </w:r>
      <w:r w:rsidRPr="00654E3B">
        <w:rPr>
          <w:rFonts w:cs="Times New Roman"/>
        </w:rPr>
        <w:t>trankama, koje su zemlje u razvoju</w:t>
      </w:r>
      <w:r w:rsidR="00F776E4" w:rsidRPr="00654E3B">
        <w:rPr>
          <w:rFonts w:cs="Times New Roman"/>
        </w:rPr>
        <w:t>, u području</w:t>
      </w:r>
      <w:r w:rsidRPr="00654E3B">
        <w:rPr>
          <w:rFonts w:cs="Times New Roman"/>
        </w:rPr>
        <w:t xml:space="preserve"> klimatskih promjena. Pored toga, Republika Hrvatska sudjeluje u kreiranju međunarodne razvojne pomoći EU-a, koja je kao </w:t>
      </w:r>
      <w:r w:rsidR="00F776E4" w:rsidRPr="00654E3B">
        <w:rPr>
          <w:rFonts w:cs="Times New Roman"/>
        </w:rPr>
        <w:t>s</w:t>
      </w:r>
      <w:r w:rsidRPr="00654E3B">
        <w:rPr>
          <w:rFonts w:cs="Times New Roman"/>
        </w:rPr>
        <w:t>tranka UNFCCC i Pariškog sporazuma najveći pojedinačni donator u svijetu za klimatsku politiku.</w:t>
      </w:r>
    </w:p>
    <w:p w:rsidR="007D4A93" w:rsidRPr="00654E3B" w:rsidRDefault="00EF0BEB">
      <w:pPr>
        <w:pStyle w:val="NormalWeb"/>
        <w:rPr>
          <w:rFonts w:cs="Times New Roman"/>
        </w:rPr>
      </w:pPr>
      <w:r w:rsidRPr="00654E3B">
        <w:rPr>
          <w:rFonts w:cs="Times New Roman"/>
        </w:rPr>
        <w:t xml:space="preserve">Generalno, tri su vida moguće pomoći: financiranje, transfer tehnologija i izgradnja kapaciteta. </w:t>
      </w:r>
    </w:p>
    <w:p w:rsidR="007D4A93" w:rsidRPr="00654E3B" w:rsidRDefault="00EF0BEB">
      <w:pPr>
        <w:pStyle w:val="NormalWeb"/>
        <w:rPr>
          <w:rFonts w:cs="Times New Roman"/>
        </w:rPr>
      </w:pPr>
      <w:r w:rsidRPr="00654E3B">
        <w:rPr>
          <w:rFonts w:cs="Times New Roman"/>
        </w:rPr>
        <w:t>Pomoć putem prijenosa znanja i iskustava susjednim zemljama, posebno državama koje kandidiraju za članstvo u EU, potrebno je ostvariti kroz postojeće programe suradnje i buduće projekte i programe</w:t>
      </w:r>
      <w:r w:rsidR="002B1B53" w:rsidRPr="00654E3B">
        <w:rPr>
          <w:rFonts w:cs="Times New Roman"/>
        </w:rPr>
        <w:t>,</w:t>
      </w:r>
      <w:r w:rsidRPr="00654E3B">
        <w:rPr>
          <w:rFonts w:cs="Times New Roman"/>
        </w:rPr>
        <w:t xml:space="preserve"> kojima je cilj transfer znanja i iskustava u području ublažavanja i prilagodbe klimatsk</w:t>
      </w:r>
      <w:r w:rsidR="00F776E4" w:rsidRPr="00654E3B">
        <w:rPr>
          <w:rFonts w:cs="Times New Roman"/>
        </w:rPr>
        <w:t>im</w:t>
      </w:r>
      <w:r w:rsidRPr="00654E3B">
        <w:rPr>
          <w:rFonts w:cs="Times New Roman"/>
        </w:rPr>
        <w:t xml:space="preserve"> promjen</w:t>
      </w:r>
      <w:r w:rsidR="00F776E4" w:rsidRPr="00654E3B">
        <w:rPr>
          <w:rFonts w:cs="Times New Roman"/>
        </w:rPr>
        <w:t>ama</w:t>
      </w:r>
      <w:r w:rsidRPr="00654E3B">
        <w:rPr>
          <w:rFonts w:cs="Times New Roman"/>
        </w:rPr>
        <w:t>.</w:t>
      </w:r>
    </w:p>
    <w:p w:rsidR="007D4A93" w:rsidRPr="00654E3B" w:rsidRDefault="00EF0BEB">
      <w:pPr>
        <w:pStyle w:val="NormalWeb"/>
        <w:rPr>
          <w:rFonts w:cs="Times New Roman"/>
        </w:rPr>
      </w:pPr>
      <w:r w:rsidRPr="00654E3B">
        <w:rPr>
          <w:rFonts w:cs="Times New Roman"/>
        </w:rPr>
        <w:t xml:space="preserve">Međunarodna suradnja podrazumijeva i aktivno sudjelovanje u pregovorima o postizanju i provedbi globalnog sporazuma o ublažavanju klimatskih promjena i prilagodbi </w:t>
      </w:r>
      <w:r w:rsidR="002B1B53" w:rsidRPr="00654E3B">
        <w:rPr>
          <w:rFonts w:cs="Times New Roman"/>
        </w:rPr>
        <w:t xml:space="preserve">klimatskim </w:t>
      </w:r>
      <w:r w:rsidRPr="00654E3B">
        <w:rPr>
          <w:rFonts w:cs="Times New Roman"/>
        </w:rPr>
        <w:t>promjena</w:t>
      </w:r>
      <w:r w:rsidR="002B1B53" w:rsidRPr="00654E3B">
        <w:rPr>
          <w:rFonts w:cs="Times New Roman"/>
        </w:rPr>
        <w:t>ma</w:t>
      </w:r>
      <w:r w:rsidRPr="00654E3B">
        <w:rPr>
          <w:rFonts w:cs="Times New Roman"/>
        </w:rPr>
        <w:t>, u prvom redu putem sudjelovanja u oblikovanju zajedničkog stajališta EU-a za međunarodne pregovore o klimi.</w:t>
      </w:r>
    </w:p>
    <w:p w:rsidR="007D4A93" w:rsidRPr="00654E3B" w:rsidRDefault="00EF0BEB">
      <w:pPr>
        <w:pStyle w:val="NormalWeb"/>
        <w:rPr>
          <w:rFonts w:cs="Times New Roman"/>
        </w:rPr>
      </w:pPr>
      <w:r w:rsidRPr="00654E3B">
        <w:rPr>
          <w:rFonts w:cs="Times New Roman"/>
        </w:rPr>
        <w:t>Suradnja s državama članicama EU-a uz sufinanciranje putem razn</w:t>
      </w:r>
      <w:r w:rsidR="00430F83" w:rsidRPr="00654E3B">
        <w:rPr>
          <w:rFonts w:cs="Times New Roman"/>
        </w:rPr>
        <w:t>ih programa EU-a (Interreg, LIFE</w:t>
      </w:r>
      <w:r w:rsidRPr="00654E3B">
        <w:rPr>
          <w:rFonts w:cs="Times New Roman"/>
        </w:rPr>
        <w:t>)</w:t>
      </w:r>
      <w:r w:rsidR="002B1B53" w:rsidRPr="00654E3B">
        <w:rPr>
          <w:rFonts w:cs="Times New Roman"/>
        </w:rPr>
        <w:t>,</w:t>
      </w:r>
      <w:r w:rsidRPr="00654E3B">
        <w:rPr>
          <w:rFonts w:cs="Times New Roman"/>
        </w:rPr>
        <w:t xml:space="preserve"> također je korisna u svrhu razmjene iskustva i jačanja kapaciteta u provedbi klimatskih ciljeva i propisa EU-a. </w:t>
      </w:r>
    </w:p>
    <w:p w:rsidR="00AB40C9" w:rsidRPr="00654E3B" w:rsidRDefault="00AB40C9">
      <w:pPr>
        <w:pStyle w:val="NormalWeb"/>
        <w:rPr>
          <w:rFonts w:cs="Times New Roman"/>
        </w:rPr>
      </w:pPr>
    </w:p>
    <w:p w:rsidR="007D4A93" w:rsidRPr="00D27803" w:rsidRDefault="00EF0BEB" w:rsidP="00AB40C9">
      <w:pPr>
        <w:pStyle w:val="Heading1"/>
        <w:rPr>
          <w:rFonts w:ascii="Times New Roman" w:hAnsi="Times New Roman" w:cs="Times New Roman"/>
        </w:rPr>
      </w:pPr>
      <w:bookmarkStart w:id="329" w:name="_Toc69810211"/>
      <w:bookmarkStart w:id="330" w:name="_Toc20841321"/>
      <w:bookmarkStart w:id="331" w:name="_Toc20841427"/>
      <w:r w:rsidRPr="00654E3B">
        <w:rPr>
          <w:rFonts w:ascii="Times New Roman" w:hAnsi="Times New Roman" w:cs="Times New Roman"/>
        </w:rPr>
        <w:t>14.</w:t>
      </w:r>
      <w:r w:rsidRPr="00654E3B">
        <w:rPr>
          <w:rFonts w:ascii="Times New Roman" w:hAnsi="Times New Roman" w:cs="Times New Roman"/>
        </w:rPr>
        <w:tab/>
        <w:t>PROVEDBA NISKOUGLJIČNE STRATEGIJE</w:t>
      </w:r>
      <w:bookmarkEnd w:id="329"/>
    </w:p>
    <w:p w:rsidR="007D4A93" w:rsidRPr="00654E3B" w:rsidRDefault="00EF0BEB">
      <w:pPr>
        <w:pStyle w:val="Heading2"/>
        <w:rPr>
          <w:rFonts w:ascii="Times New Roman" w:hAnsi="Times New Roman" w:cs="Times New Roman"/>
        </w:rPr>
      </w:pPr>
      <w:bookmarkStart w:id="332" w:name="_Toc69810212"/>
      <w:r w:rsidRPr="00F01191">
        <w:rPr>
          <w:rFonts w:ascii="Times New Roman" w:hAnsi="Times New Roman" w:cs="Times New Roman"/>
        </w:rPr>
        <w:t>14.1. INSTITUCIONALNI OKVIR ZA PROVOĐENJE NISKOUGLJIČNE STRATEGIJE</w:t>
      </w:r>
      <w:bookmarkEnd w:id="332"/>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Nadležnost za energetiku i politike klime je u Ministarstvu gospodarstva </w:t>
      </w:r>
      <w:r w:rsidR="009A36D5" w:rsidRPr="00654E3B">
        <w:rPr>
          <w:rFonts w:cs="Times New Roman"/>
        </w:rPr>
        <w:t>i</w:t>
      </w:r>
      <w:r w:rsidRPr="00654E3B">
        <w:rPr>
          <w:rFonts w:cs="Times New Roman"/>
        </w:rPr>
        <w:t xml:space="preserve"> održivog razvoja (MINGOR). U MINGOR-u za područje klime zadužena je Uprava za klimatske aktivnosti, a za energetiku Uprava za energetiku. </w:t>
      </w:r>
    </w:p>
    <w:p w:rsidR="007D4A93" w:rsidRPr="00654E3B" w:rsidRDefault="00EF0BEB">
      <w:pPr>
        <w:rPr>
          <w:rFonts w:cs="Times New Roman"/>
        </w:rPr>
      </w:pPr>
      <w:r w:rsidRPr="00654E3B">
        <w:rPr>
          <w:rFonts w:cs="Times New Roman"/>
        </w:rPr>
        <w:lastRenderedPageBreak/>
        <w:t>Za područje energetske učinkovitosti u zgradarstvu te aktivnosti vezane na dekarbonizaciju nacionalnog fonda zgrada nadležno je Ministarstvo prostornoga uređenja, graditeljstva i državne imovine (MGIPU).</w:t>
      </w:r>
    </w:p>
    <w:p w:rsidR="00351624" w:rsidRPr="00654E3B" w:rsidRDefault="00351624">
      <w:pPr>
        <w:rPr>
          <w:rFonts w:cs="Times New Roman"/>
        </w:rPr>
      </w:pPr>
      <w:r w:rsidRPr="00654E3B">
        <w:rPr>
          <w:rFonts w:cs="Times New Roman"/>
        </w:rPr>
        <w:t>MINGOR uspostavlja pravni, strateški i institucionalni okvir za provedbu klimatske politike, zadužen je za financijske mehanizme te provodi poslove organizacije izrade nacionalnog inventara stakleničkih plinova; nacionalnog izvješća o provedbi politike i mjera za smanjenje emisija i povećanje ponora stakleničkih plinova i izvješća o projekcijama emisija stakleničkih plinova po izvorima i njihovo uklanjanje ponorima; vodi sustav trgovanja emisijskim jedinicama; provodi kontrolne preglede dosljednosti podataka o djelatnostima i emisijama stakleničkih i indirektnih stakleničkih plinova usporedbom s verificiranim emisijama; izvješćuje o izdavanju, držanju na računu, prijenosu, primanju, poništavanju i povlačenju jedinica smanjenja emisija, jedinica dodijeljene kvote i jedinica uklanjanja i prijenosa u iduće obvezujuće razdoblje u Registru Unije; provodi evidenciju i izvješćivanje o ovlaštenim pravnim osobama koje sudjeluju u trgovanju emisijama; koordinira politiku niskougljičnog razvoja među sektorima te radi na horizontalnom i vertikalnom integriranju klimatskih ciljeva; usmjerava ulaganja u niskougljični razvoj iz sredstava prikupljenih od dražbi emisijskih jedinica; ulaže u  istraživanje i razvoj i na informativno-komunikacijske projekte; sudjeluje u kreiranju zajedničke klimatske politike i zakonodavstva EU-a te sudjeluje u međunarodnim pregovorima o provedbi UNFCCC i Pariškog sporazuma.</w:t>
      </w:r>
    </w:p>
    <w:p w:rsidR="007D4A93" w:rsidRPr="00654E3B" w:rsidRDefault="00EF0BEB">
      <w:pPr>
        <w:rPr>
          <w:rFonts w:cs="Times New Roman"/>
        </w:rPr>
      </w:pPr>
      <w:r w:rsidRPr="00654E3B">
        <w:rPr>
          <w:rFonts w:cs="Times New Roman"/>
        </w:rPr>
        <w:t xml:space="preserve">Djelatnost FZOEU obuhvaća poslove u svezi s financiranjem pripreme, provedbe i razvoja programa, projekata i aktivnosti u području očuvanja, održivog korištenja, zaštite i unaprjeđivanja okoliša te u području energetske učinkovitosti i korištenja obnovljivih izvora energije; posredovanje u svezi s financiranjem zaštite okoliša i energetske učinkovitosti iz sredstava stranih država, međunarodnih organizacija, financijskih institucija i tijela te domaćih i stranih pravnih i fizičkih osoba; vodi bazu podataka o programima i projektima u području zaštite okoliša i energetske učinkovitosti te potrebnim i raspoloživim financijskim sredstvima za njihovo ostvarivanje; potiče, uspostavlja i ostvaruje suradnju s međunarodnim i domaćim financijskim institucijama i drugim pravnim i fizičkim osobama radi financiranja zaštite okoliša i energetske učinkovitosti u skladu s Strategijom energetskog razvoja, NECP-om i drugim programima u području zaštite okoliša i energetske učinkovitosti te međunarodnim ugovorima čija je stranka Republika Hrvatska. </w:t>
      </w:r>
    </w:p>
    <w:p w:rsidR="007D4A93" w:rsidRPr="00654E3B" w:rsidRDefault="00EF0BEB">
      <w:pPr>
        <w:rPr>
          <w:rFonts w:cs="Times New Roman"/>
        </w:rPr>
      </w:pPr>
      <w:r w:rsidRPr="00654E3B">
        <w:rPr>
          <w:rFonts w:cs="Times New Roman"/>
        </w:rPr>
        <w:t>Državni hidrometeorološki zavod (DHMZ) provodi sustavno, stručno i znanstveno utemeljeno praćenje klime i klimatskih promjena kako bi se ocijenio utjecaj promjena koncentracije stakleničkih plinova u atmosferi. DHMZ ujedno unapređuje metode i modele temeljem kojih se izrađuju projekcije klimatskih promjena uvažavajući predložene scenarije promjene emisija stakleničkih plinova.</w:t>
      </w:r>
    </w:p>
    <w:p w:rsidR="007D4A93" w:rsidRPr="00654E3B" w:rsidRDefault="00EF0BEB">
      <w:pPr>
        <w:rPr>
          <w:rFonts w:cs="Times New Roman"/>
        </w:rPr>
      </w:pPr>
      <w:r w:rsidRPr="00654E3B">
        <w:rPr>
          <w:rFonts w:cs="Times New Roman"/>
        </w:rPr>
        <w:t xml:space="preserve">Kako bi se unaprijedila međusektorska suradnja, osnovana su dva povjerenstva: </w:t>
      </w:r>
    </w:p>
    <w:p w:rsidR="007D4A93" w:rsidRPr="00654E3B" w:rsidRDefault="00EF0BEB" w:rsidP="000C6795">
      <w:pPr>
        <w:pStyle w:val="ListParagraph"/>
        <w:numPr>
          <w:ilvl w:val="0"/>
          <w:numId w:val="23"/>
        </w:numPr>
        <w:rPr>
          <w:rFonts w:cs="Times New Roman"/>
        </w:rPr>
      </w:pPr>
      <w:r w:rsidRPr="00654E3B">
        <w:rPr>
          <w:rFonts w:cs="Times New Roman"/>
        </w:rPr>
        <w:t xml:space="preserve">Povjerenstvo za međusektorsku koordinaciju za nacionalni sustav za praćenje emisija stakleničkih plinova i </w:t>
      </w:r>
    </w:p>
    <w:p w:rsidR="007D4A93" w:rsidRPr="00654E3B" w:rsidRDefault="00EF0BEB" w:rsidP="000C6795">
      <w:pPr>
        <w:pStyle w:val="ListParagraph"/>
        <w:numPr>
          <w:ilvl w:val="0"/>
          <w:numId w:val="23"/>
        </w:numPr>
        <w:rPr>
          <w:rFonts w:cs="Times New Roman"/>
        </w:rPr>
      </w:pPr>
      <w:r w:rsidRPr="00654E3B">
        <w:rPr>
          <w:rFonts w:cs="Times New Roman"/>
        </w:rPr>
        <w:t>Povjerenstvo za međusektorsku koordinaciju za politiku i mjere za ublažavanje i prilagodbu klimatskim promjenama.</w:t>
      </w:r>
    </w:p>
    <w:p w:rsidR="007D4A93" w:rsidRPr="00654E3B" w:rsidRDefault="00EF0BEB">
      <w:pPr>
        <w:rPr>
          <w:rFonts w:cs="Times New Roman"/>
        </w:rPr>
      </w:pPr>
      <w:r w:rsidRPr="00654E3B">
        <w:rPr>
          <w:rFonts w:cs="Times New Roman"/>
        </w:rPr>
        <w:t>Povjerenstvo za međusektorsku koordinaciju za politiku i mjere za ublažavanje i prilagodbu klimatskim daje preporuke o sveukupnoj politici i mjerama za ublažavanje i prilagodbu klimatskim promjenama; osigurava podršku u provođenju politike i mjera za ublažavanje i prilagodbu klimatskim promjenama te ocjenjuje stratešk</w:t>
      </w:r>
      <w:r w:rsidR="00F260DE" w:rsidRPr="00654E3B">
        <w:rPr>
          <w:rFonts w:cs="Times New Roman"/>
        </w:rPr>
        <w:t>e</w:t>
      </w:r>
      <w:r w:rsidRPr="00654E3B">
        <w:rPr>
          <w:rFonts w:cs="Times New Roman"/>
        </w:rPr>
        <w:t xml:space="preserve"> </w:t>
      </w:r>
      <w:r w:rsidR="00F260DE" w:rsidRPr="00654E3B">
        <w:rPr>
          <w:rFonts w:cs="Times New Roman"/>
        </w:rPr>
        <w:t>dokumente</w:t>
      </w:r>
      <w:r w:rsidRPr="00654E3B">
        <w:rPr>
          <w:rFonts w:cs="Times New Roman"/>
        </w:rPr>
        <w:t xml:space="preserve"> koji se odnose na politiku i mjere za ublažavanje i prilagodbu klimatskim promjenama. </w:t>
      </w:r>
    </w:p>
    <w:p w:rsidR="007D4A93" w:rsidRPr="00654E3B" w:rsidRDefault="00EF0BEB">
      <w:pPr>
        <w:rPr>
          <w:rFonts w:cs="Times New Roman"/>
        </w:rPr>
      </w:pPr>
      <w:r w:rsidRPr="00654E3B">
        <w:rPr>
          <w:rFonts w:cs="Times New Roman"/>
        </w:rPr>
        <w:t xml:space="preserve">Osnivanje oba povjerenstva doprinijelo je velikom napretku, poboljšan je protok informacija i sektorska uključenost u odlučivanje te je podignuta razina znanja. </w:t>
      </w:r>
      <w:r w:rsidR="00BF3A2A" w:rsidRPr="00654E3B">
        <w:rPr>
          <w:rFonts w:cs="Times New Roman"/>
        </w:rPr>
        <w:t xml:space="preserve">Potrebno je uložiti dodatne napore da se osigura </w:t>
      </w:r>
      <w:r w:rsidRPr="00654E3B">
        <w:rPr>
          <w:rFonts w:cs="Times New Roman"/>
        </w:rPr>
        <w:t xml:space="preserve">povratno djelovanje, </w:t>
      </w:r>
      <w:r w:rsidR="00BF3A2A" w:rsidRPr="00654E3B">
        <w:rPr>
          <w:rFonts w:cs="Times New Roman"/>
        </w:rPr>
        <w:t>te da se</w:t>
      </w:r>
      <w:r w:rsidRPr="00654E3B">
        <w:rPr>
          <w:rFonts w:cs="Times New Roman"/>
        </w:rPr>
        <w:t xml:space="preserve"> u pojedinim sektorima pitanja klime uključuju u planiranje i </w:t>
      </w:r>
      <w:r w:rsidR="00BF3A2A" w:rsidRPr="00654E3B">
        <w:rPr>
          <w:rFonts w:cs="Times New Roman"/>
        </w:rPr>
        <w:t xml:space="preserve">provedbu </w:t>
      </w:r>
      <w:r w:rsidRPr="00654E3B">
        <w:rPr>
          <w:rFonts w:cs="Times New Roman"/>
        </w:rPr>
        <w:t>politike</w:t>
      </w:r>
      <w:r w:rsidR="00FB5416" w:rsidRPr="00654E3B">
        <w:rPr>
          <w:rFonts w:cs="Times New Roman"/>
        </w:rPr>
        <w:t xml:space="preserve"> uključujući i lokalnu razinu</w:t>
      </w:r>
      <w:r w:rsidRPr="00654E3B">
        <w:rPr>
          <w:rFonts w:cs="Times New Roman"/>
        </w:rPr>
        <w:t xml:space="preserve">. </w:t>
      </w:r>
    </w:p>
    <w:p w:rsidR="007D4A93" w:rsidRPr="00654E3B" w:rsidRDefault="00EF0BEB">
      <w:pPr>
        <w:rPr>
          <w:rFonts w:cs="Times New Roman"/>
        </w:rPr>
      </w:pPr>
      <w:r w:rsidRPr="00654E3B">
        <w:rPr>
          <w:rFonts w:cs="Times New Roman"/>
        </w:rPr>
        <w:t xml:space="preserve">Za provođenje Niskougljične strategije potrebno je osigurati snažnije mehanizme za horizontalno djelovanje. Potrebno je u više sektora osnažiti kapacitete za rad na aktivnostima vezanima uz klimatske promjene, čime bi se pridonijelo boljem raspoznavanju sinergijskih učinaka politika i mjera za ublažavanje i prilagodbu klimatskim promjenama. S obzirom da razvojni dokumenti pojedinih područja </w:t>
      </w:r>
      <w:r w:rsidRPr="00654E3B">
        <w:rPr>
          <w:rFonts w:cs="Times New Roman"/>
        </w:rPr>
        <w:lastRenderedPageBreak/>
        <w:t>i djelatnosti moraju biti usklađeni s načelima, osnovnim ciljevima, prioritetima i smjernicama niskougljičnog razvoja utvrđenima u Niskougljičnoj strategiji, za očekivati je da će zbog međusektorskog usklađivanja doći do prilagodbe postojećeg pravnog okvira i razvojnih dokumenata pojedinih područja.</w:t>
      </w:r>
    </w:p>
    <w:p w:rsidR="007D4A93" w:rsidRPr="00654E3B" w:rsidRDefault="00EF0BEB">
      <w:pPr>
        <w:rPr>
          <w:rFonts w:cs="Times New Roman"/>
        </w:rPr>
      </w:pPr>
      <w:r w:rsidRPr="00654E3B">
        <w:rPr>
          <w:rFonts w:cs="Times New Roman"/>
        </w:rPr>
        <w:t>Jedan od najvažnijih instrumenata za provođenje klimatskih politika je prostorno i urbanističko planiranje s obzirom da prostorni planovi imaju snagu i pravnu prirodu podzakonskog propisa i s obzirom da je prostorno planiranje multidisciplinarna djelatnost koja objedinjuje sve sektore. Odrednice prostornih i urbanističkih planova usmjerene prema dekarbonizaciji i niskougljičnom razvoju direktno utječu na pripremu projekata i aktivnosti u prostoru, a time i na postizanje klimatskih ciljeva za smanjenjem emisija.</w:t>
      </w:r>
    </w:p>
    <w:p w:rsidR="007D4A93" w:rsidRPr="00654E3B" w:rsidRDefault="00EF0BEB">
      <w:pPr>
        <w:rPr>
          <w:rFonts w:cs="Times New Roman"/>
        </w:rPr>
      </w:pPr>
      <w:r w:rsidRPr="00654E3B">
        <w:rPr>
          <w:rFonts w:cs="Times New Roman"/>
        </w:rPr>
        <w:t xml:space="preserve">Dio zaduženja i ovlasti, treba locirati u institucije koje već imaju razvijene kapacitete, koje će lako prihvatiti nove funkcije i koje stvaraju sinergiju sa svojim postojećim poslovima. Pravne osobe s javnim ovlastima na državnoj razini trebaju raspoznati priliku za razvoj, konkurirati za vođenje pojedinih segmenata Niskougljične strategije i akcijske planove njene provedbe. Radna mjesta koja su postala nepotrebna treba usmjeriti na nove poslove koji u administrativnom smislu nudi Niskougljična strategija. </w:t>
      </w:r>
    </w:p>
    <w:p w:rsidR="007D4A93" w:rsidRPr="00654E3B" w:rsidRDefault="00EF0BEB">
      <w:pPr>
        <w:rPr>
          <w:rFonts w:cs="Times New Roman"/>
          <w:szCs w:val="24"/>
        </w:rPr>
      </w:pPr>
      <w:r w:rsidRPr="00654E3B">
        <w:rPr>
          <w:rFonts w:cs="Times New Roman"/>
          <w:szCs w:val="24"/>
        </w:rPr>
        <w:t xml:space="preserve">Kako je već istaknuto u uvodnom dijelu, za uspješnu provedbu Niskougljične strategije osim horizontalne suradnje nužna je vertikalna suradnja od državne razine do djelovanja na lokalnoj razini. Jedinice </w:t>
      </w:r>
      <w:r w:rsidR="00E0306C" w:rsidRPr="00654E3B">
        <w:rPr>
          <w:rFonts w:cs="Times New Roman"/>
          <w:szCs w:val="24"/>
        </w:rPr>
        <w:t xml:space="preserve">lokalne i područne </w:t>
      </w:r>
      <w:r w:rsidRPr="00654E3B">
        <w:rPr>
          <w:rFonts w:cs="Times New Roman"/>
          <w:szCs w:val="24"/>
        </w:rPr>
        <w:t xml:space="preserve">(regionalne) samouprave i </w:t>
      </w:r>
      <w:r w:rsidRPr="00654E3B">
        <w:rPr>
          <w:rFonts w:eastAsia="Times New Roman" w:cs="Times New Roman"/>
          <w:color w:val="000000" w:themeColor="text1"/>
          <w:szCs w:val="24"/>
          <w:lang w:eastAsia="hr-HR"/>
        </w:rPr>
        <w:t xml:space="preserve">pravne osobe s javnim ovlastima osnovanima od strane </w:t>
      </w:r>
      <w:r w:rsidRPr="00654E3B">
        <w:rPr>
          <w:rFonts w:cs="Times New Roman"/>
          <w:szCs w:val="24"/>
        </w:rPr>
        <w:t xml:space="preserve">jedinica područne (regionalne) i lokalne samouprave moraju prepoznati nužnost niskougljičnog razvoja te ga shvatiti kao izazov i potrebu za gospodarski prosperitet i za opću dobrobit,. </w:t>
      </w:r>
    </w:p>
    <w:p w:rsidR="00AB40C9" w:rsidRPr="00654E3B" w:rsidRDefault="00AB40C9">
      <w:pPr>
        <w:rPr>
          <w:rFonts w:cs="Times New Roman"/>
          <w:szCs w:val="24"/>
        </w:rPr>
      </w:pPr>
    </w:p>
    <w:p w:rsidR="007D4A93" w:rsidRPr="00654E3B" w:rsidRDefault="00EF0BEB">
      <w:pPr>
        <w:pStyle w:val="Heading2"/>
        <w:rPr>
          <w:rFonts w:ascii="Times New Roman" w:hAnsi="Times New Roman" w:cs="Times New Roman"/>
        </w:rPr>
      </w:pPr>
      <w:bookmarkStart w:id="333" w:name="_Toc69810213"/>
      <w:r w:rsidRPr="00654E3B">
        <w:rPr>
          <w:rFonts w:ascii="Times New Roman" w:hAnsi="Times New Roman" w:cs="Times New Roman"/>
        </w:rPr>
        <w:t>14.2. POKAZATELJI PROVEDBE NISKOUGLJIČNE STRATEGIJE</w:t>
      </w:r>
      <w:bookmarkEnd w:id="333"/>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Pokazatelji za praćenje provedbe Niskougljične strategije su navedeni u tablici 14-1.</w:t>
      </w:r>
    </w:p>
    <w:p w:rsidR="007D4A93" w:rsidRPr="00654E3B" w:rsidRDefault="00EF0BEB" w:rsidP="008467D5">
      <w:pPr>
        <w:keepNext/>
        <w:rPr>
          <w:rFonts w:cs="Times New Roman"/>
          <w:i/>
        </w:rPr>
      </w:pPr>
      <w:r w:rsidRPr="00654E3B">
        <w:rPr>
          <w:rFonts w:cs="Times New Roman"/>
          <w:i/>
        </w:rPr>
        <w:lastRenderedPageBreak/>
        <w:t>Tablica 14-1: Pokazatelji provedbe Niskougljične strategije</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379"/>
      </w:tblGrid>
      <w:tr w:rsidR="007D4A93" w:rsidRPr="00654E3B" w:rsidTr="007D4A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right w:val="none" w:sz="0" w:space="0" w:color="auto"/>
            </w:tcBorders>
            <w:shd w:val="clear" w:color="auto" w:fill="auto"/>
          </w:tcPr>
          <w:p w:rsidR="007D4A93" w:rsidRPr="00654E3B" w:rsidRDefault="00EF0BEB" w:rsidP="008467D5">
            <w:pPr>
              <w:keepNext/>
              <w:rPr>
                <w:rFonts w:cs="Times New Roman"/>
                <w:sz w:val="22"/>
              </w:rPr>
            </w:pPr>
            <w:r w:rsidRPr="00654E3B">
              <w:rPr>
                <w:rFonts w:cs="Times New Roman"/>
              </w:rPr>
              <w:t>Cilj</w:t>
            </w:r>
          </w:p>
        </w:tc>
        <w:tc>
          <w:tcPr>
            <w:tcW w:w="6379" w:type="dxa"/>
            <w:tcBorders>
              <w:left w:val="none" w:sz="0" w:space="0" w:color="auto"/>
            </w:tcBorders>
            <w:shd w:val="clear" w:color="auto" w:fill="auto"/>
          </w:tcPr>
          <w:p w:rsidR="007D4A93" w:rsidRPr="00654E3B" w:rsidRDefault="00EF0BEB" w:rsidP="008467D5">
            <w:pPr>
              <w:keepNext/>
              <w:cnfStyle w:val="100000000000" w:firstRow="1"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Glavni pokazatelj učinaka (podebljano) i ishoda</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rsidR="007D4A93" w:rsidRPr="00654E3B" w:rsidRDefault="00EF0BEB" w:rsidP="008467D5">
            <w:pPr>
              <w:keepNext/>
              <w:jc w:val="left"/>
              <w:rPr>
                <w:rFonts w:cs="Times New Roman"/>
                <w:sz w:val="22"/>
              </w:rPr>
            </w:pPr>
            <w:r w:rsidRPr="00654E3B">
              <w:rPr>
                <w:rFonts w:cs="Times New Roman"/>
              </w:rPr>
              <w:t xml:space="preserve">Postizanje održivog razvoja temeljenog na znanju i konkurentnom niskougljičnom gospodarstvu i učinkovitim korištenjem resursa </w:t>
            </w:r>
          </w:p>
        </w:tc>
        <w:tc>
          <w:tcPr>
            <w:tcW w:w="6379" w:type="dxa"/>
            <w:shd w:val="clear" w:color="auto" w:fill="auto"/>
          </w:tcPr>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54E3B">
              <w:rPr>
                <w:rFonts w:cs="Times New Roman"/>
                <w:b/>
                <w:bCs/>
              </w:rPr>
              <w:t>Smanjenje ukupne emisije stakleničkih plinova u odnosu na 1990 godinu</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emisija stakleničkih plinova po stanovniku, u odnosu na 1990.</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54E3B">
              <w:rPr>
                <w:rFonts w:cs="Times New Roman"/>
                <w:b/>
                <w:bCs/>
              </w:rPr>
              <w:t xml:space="preserve">Smanjenje emisija stakleničkih plinova u odnosu na 1990. godinu po jedinici BDP-a </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Smanjenje emisija stakleničkih plinova po jedinici utrošene ukupne energije</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Broj novih zelenih radnih mjesta (potrebno razraditi metodologiju praćenja)</w:t>
            </w:r>
          </w:p>
          <w:p w:rsidR="007D4A93" w:rsidRPr="00654E3B" w:rsidRDefault="00EF0BEB" w:rsidP="008467D5">
            <w:pPr>
              <w:pStyle w:val="ListParagraph"/>
              <w:keepNext/>
              <w:numPr>
                <w:ilvl w:val="0"/>
                <w:numId w:val="76"/>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Indeks globalne konkurentnosti, komponenta „infrastruktura“</w:t>
            </w:r>
          </w:p>
        </w:tc>
      </w:tr>
      <w:tr w:rsidR="007D4A93" w:rsidRPr="00654E3B" w:rsidTr="007D4A93">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rsidR="007D4A93" w:rsidRPr="00654E3B" w:rsidRDefault="00EF0BEB" w:rsidP="008467D5">
            <w:pPr>
              <w:keepNext/>
              <w:jc w:val="left"/>
              <w:rPr>
                <w:rFonts w:cs="Times New Roman"/>
                <w:sz w:val="22"/>
              </w:rPr>
            </w:pPr>
            <w:r w:rsidRPr="00654E3B">
              <w:rPr>
                <w:rFonts w:cs="Times New Roman"/>
              </w:rPr>
              <w:t>Povećanje sigurnosti opskrbe energijom, održivost energetske opskrbe, povećanje dostupnosti energije i smanjenje energetske ovisnosti</w:t>
            </w:r>
          </w:p>
        </w:tc>
        <w:tc>
          <w:tcPr>
            <w:tcW w:w="6379" w:type="dxa"/>
            <w:shd w:val="clear" w:color="auto" w:fill="auto"/>
          </w:tcPr>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Ukupna potrošnja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Neposredna potrošnja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Udio obnovljivih izvora energije u bruto neposrednoj potrošnji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Potrošnja električne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Proizvodnja električne energije iz obnovljivih izvora energije (</w:t>
            </w:r>
            <w:r w:rsidR="00060992" w:rsidRPr="00654E3B">
              <w:rPr>
                <w:rFonts w:cs="Times New Roman"/>
              </w:rPr>
              <w:t xml:space="preserve"> %</w:t>
            </w:r>
            <w:r w:rsidRPr="00654E3B">
              <w:rPr>
                <w:rFonts w:cs="Times New Roman"/>
              </w:rPr>
              <w:t xml:space="preserve"> ukupne proizvodnje električne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b/>
                <w:bCs/>
                <w:sz w:val="22"/>
              </w:rPr>
            </w:pPr>
            <w:r w:rsidRPr="00654E3B">
              <w:rPr>
                <w:rFonts w:cs="Times New Roman"/>
                <w:b/>
                <w:bCs/>
              </w:rPr>
              <w:t>Smanjenje uvoza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Smanjenje uvoza električne energije</w:t>
            </w:r>
          </w:p>
          <w:p w:rsidR="007D4A93" w:rsidRPr="00654E3B" w:rsidRDefault="00EF0BEB" w:rsidP="008467D5">
            <w:pPr>
              <w:pStyle w:val="ListParagraph"/>
              <w:keepNext/>
              <w:numPr>
                <w:ilvl w:val="0"/>
                <w:numId w:val="77"/>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Udio obnovljivih izvora energije u bruto ukupnoj potrošnji energije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Height w:val="2344"/>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shd w:val="clear" w:color="auto" w:fill="auto"/>
          </w:tcPr>
          <w:p w:rsidR="007D4A93" w:rsidRPr="00654E3B" w:rsidRDefault="00EF0BEB" w:rsidP="008467D5">
            <w:pPr>
              <w:keepNext/>
              <w:jc w:val="left"/>
              <w:rPr>
                <w:rFonts w:cs="Times New Roman"/>
                <w:sz w:val="22"/>
              </w:rPr>
            </w:pPr>
            <w:r w:rsidRPr="00654E3B">
              <w:rPr>
                <w:rFonts w:cs="Times New Roman"/>
              </w:rPr>
              <w:t xml:space="preserve">Solidarnost izvršavanjem obveza Republike Hrvatske prema međunarodnim sporazumima, u okviru politike Europske unije, kao dio naše povijesne odgovornosti i doprinos globalnim ciljevima </w:t>
            </w:r>
          </w:p>
          <w:p w:rsidR="007D4A93" w:rsidRPr="00654E3B" w:rsidRDefault="007D4A93" w:rsidP="008467D5">
            <w:pPr>
              <w:keepNext/>
              <w:jc w:val="left"/>
              <w:rPr>
                <w:rFonts w:cs="Times New Roman"/>
                <w:sz w:val="22"/>
              </w:rPr>
            </w:pPr>
          </w:p>
        </w:tc>
        <w:tc>
          <w:tcPr>
            <w:tcW w:w="6379" w:type="dxa"/>
            <w:shd w:val="clear" w:color="auto" w:fill="auto"/>
          </w:tcPr>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54E3B">
              <w:rPr>
                <w:rFonts w:cs="Times New Roman"/>
                <w:b/>
                <w:bCs/>
              </w:rPr>
              <w:t>Ukupna emisija stakleničkih plinova</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 xml:space="preserve">Emisija i </w:t>
            </w:r>
            <w:r w:rsidR="00BF4CA8" w:rsidRPr="00654E3B">
              <w:rPr>
                <w:rFonts w:cs="Times New Roman"/>
              </w:rPr>
              <w:t>ponori</w:t>
            </w:r>
            <w:r w:rsidRPr="00654E3B">
              <w:rPr>
                <w:rFonts w:cs="Times New Roman"/>
              </w:rPr>
              <w:t xml:space="preserve"> po sektorima (energetski sustav, industrija, promet, LULUCF (korištenje zemljišta, prenamjena korištenja zemljišta i šumarstvo), poljoprivreda, otpad</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 xml:space="preserve">Emisija stakleničkih plinova ETS sektora </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654E3B">
              <w:rPr>
                <w:rFonts w:cs="Times New Roman"/>
                <w:b/>
                <w:bCs/>
              </w:rPr>
              <w:t xml:space="preserve">Emisija stakleničkih plinova sektora izvan ETS-a </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Razlika emisije stakleničkih plinova u odnosu na utvrđenu kvotu u sektorima izvan ETS-a</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Stopa recikliranja komunalnog otpada</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Uložena sredstva u mjere provođenja tranzicije</w:t>
            </w:r>
          </w:p>
          <w:p w:rsidR="007D4A93" w:rsidRPr="00654E3B" w:rsidRDefault="00EF0BEB" w:rsidP="008467D5">
            <w:pPr>
              <w:pStyle w:val="ListParagraph"/>
              <w:keepNext/>
              <w:numPr>
                <w:ilvl w:val="0"/>
                <w:numId w:val="77"/>
              </w:numPr>
              <w:ind w:left="284" w:hanging="284"/>
              <w:jc w:val="left"/>
              <w:cnfStyle w:val="000000100000" w:firstRow="0" w:lastRow="0" w:firstColumn="0" w:lastColumn="0" w:oddVBand="0" w:evenVBand="0" w:oddHBand="1" w:evenHBand="0" w:firstRowFirstColumn="0" w:firstRowLastColumn="0" w:lastRowFirstColumn="0" w:lastRowLastColumn="0"/>
              <w:rPr>
                <w:rFonts w:cs="Times New Roman"/>
                <w:sz w:val="22"/>
              </w:rPr>
            </w:pPr>
            <w:r w:rsidRPr="00654E3B">
              <w:rPr>
                <w:rFonts w:cs="Times New Roman"/>
              </w:rPr>
              <w:t>Uložena sredstva za istraživanje, razvoj i inovacije</w:t>
            </w:r>
          </w:p>
        </w:tc>
      </w:tr>
      <w:tr w:rsidR="007D4A93" w:rsidRPr="00654E3B" w:rsidTr="007D4A93">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tcBorders>
            <w:shd w:val="clear" w:color="auto" w:fill="auto"/>
          </w:tcPr>
          <w:p w:rsidR="007D4A93" w:rsidRPr="00654E3B" w:rsidRDefault="00EF0BEB" w:rsidP="008467D5">
            <w:pPr>
              <w:keepNext/>
              <w:jc w:val="left"/>
              <w:rPr>
                <w:rFonts w:cs="Times New Roman"/>
                <w:sz w:val="22"/>
              </w:rPr>
            </w:pPr>
            <w:r w:rsidRPr="00654E3B">
              <w:rPr>
                <w:rFonts w:cs="Times New Roman"/>
              </w:rPr>
              <w:t>Smanjenje onečišćenja zraka i utjecaja na zdravlje.</w:t>
            </w:r>
          </w:p>
        </w:tc>
        <w:tc>
          <w:tcPr>
            <w:tcW w:w="6379" w:type="dxa"/>
            <w:shd w:val="clear" w:color="auto" w:fill="auto"/>
          </w:tcPr>
          <w:p w:rsidR="007D4A93" w:rsidRPr="00654E3B" w:rsidRDefault="00EF0BEB" w:rsidP="008467D5">
            <w:pPr>
              <w:pStyle w:val="ListParagraph"/>
              <w:keepNext/>
              <w:numPr>
                <w:ilvl w:val="0"/>
                <w:numId w:val="78"/>
              </w:numPr>
              <w:ind w:left="284" w:hanging="284"/>
              <w:jc w:val="left"/>
              <w:cnfStyle w:val="000000000000" w:firstRow="0" w:lastRow="0" w:firstColumn="0" w:lastColumn="0" w:oddVBand="0" w:evenVBand="0" w:oddHBand="0" w:evenHBand="0" w:firstRowFirstColumn="0" w:firstRowLastColumn="0" w:lastRowFirstColumn="0" w:lastRowLastColumn="0"/>
              <w:rPr>
                <w:rFonts w:cs="Times New Roman"/>
                <w:sz w:val="22"/>
              </w:rPr>
            </w:pPr>
            <w:r w:rsidRPr="00654E3B">
              <w:rPr>
                <w:rFonts w:cs="Times New Roman"/>
              </w:rPr>
              <w:t>Broj gradova koje imaju prekoračenja propisane kvalitete zraka i provode Akcijske planove za poboljšanje kvalitete zraka, po onečišćujućim tvarima</w:t>
            </w:r>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t>Navedeni pokazatelji usklađeni su s relevantnom listom nacionalnih pokazatelja iz Biblioteke pokazatelja za sustav strateškog planiranja i upravljanja razvojem Republike Hrvatske</w:t>
      </w:r>
      <w:r w:rsidRPr="00F01191">
        <w:rPr>
          <w:rStyle w:val="FootnoteReference"/>
          <w:rFonts w:ascii="Times New Roman" w:hAnsi="Times New Roman" w:cs="Times New Roman"/>
        </w:rPr>
        <w:footnoteReference w:id="4"/>
      </w:r>
      <w:r w:rsidRPr="00F01191">
        <w:rPr>
          <w:rFonts w:cs="Times New Roman"/>
        </w:rPr>
        <w:t>.</w:t>
      </w:r>
    </w:p>
    <w:p w:rsidR="00AB40C9" w:rsidRPr="00654E3B" w:rsidRDefault="00AB40C9">
      <w:pPr>
        <w:rPr>
          <w:rFonts w:cs="Times New Roman"/>
        </w:rPr>
      </w:pPr>
    </w:p>
    <w:p w:rsidR="007D4A93" w:rsidRPr="00654E3B" w:rsidRDefault="00EF0BEB">
      <w:pPr>
        <w:pStyle w:val="Heading2"/>
        <w:rPr>
          <w:rFonts w:ascii="Times New Roman" w:hAnsi="Times New Roman" w:cs="Times New Roman"/>
        </w:rPr>
      </w:pPr>
      <w:bookmarkStart w:id="334" w:name="_Toc69810214"/>
      <w:r w:rsidRPr="00654E3B">
        <w:rPr>
          <w:rFonts w:ascii="Times New Roman" w:hAnsi="Times New Roman" w:cs="Times New Roman"/>
        </w:rPr>
        <w:t>14.3. PRAĆENJE, IZVJEŠTAVANJE I VERIFIKACIJA</w:t>
      </w:r>
      <w:bookmarkEnd w:id="334"/>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Republika Hrvatska ima obvezu izvještavanja prema UNFCCC-u i prema Europskoj komisiji te prema nizu ostalih europskih i međunarodnih institucija. Nadležno ministarstvo će unaprijediti sustav praćenja, izvještavanja i verifikacije tako što će uspostaviti protokole razmjene podataka, raditi na uspostavi zajedničkih baza podataka i informacijskih sustava, definirati formate i sadržaje izvješća i kalendare izvještavanja. Svi podaci i izvješća koja se odnose na područje politike klimatskih promjena potvrđivat će se kroz sustav kako je prikazano na slici 14-1. Sustav uključuje: resore koji dostavljaju podatke za nadležni djelokrug odnosno sektore, jedinice lokalne i </w:t>
      </w:r>
      <w:r w:rsidR="00E0306C" w:rsidRPr="00654E3B">
        <w:rPr>
          <w:rFonts w:cs="Times New Roman"/>
        </w:rPr>
        <w:t>područne (</w:t>
      </w:r>
      <w:r w:rsidRPr="00654E3B">
        <w:rPr>
          <w:rFonts w:cs="Times New Roman"/>
        </w:rPr>
        <w:t>regionalne</w:t>
      </w:r>
      <w:r w:rsidR="00E0306C" w:rsidRPr="00654E3B">
        <w:rPr>
          <w:rFonts w:cs="Times New Roman"/>
        </w:rPr>
        <w:t>)</w:t>
      </w:r>
      <w:r w:rsidRPr="00654E3B">
        <w:rPr>
          <w:rFonts w:cs="Times New Roman"/>
        </w:rPr>
        <w:t xml:space="preserve"> samouprave (JL</w:t>
      </w:r>
      <w:r w:rsidR="00E0306C" w:rsidRPr="00654E3B">
        <w:rPr>
          <w:rFonts w:cs="Times New Roman"/>
        </w:rPr>
        <w:t>P(R)</w:t>
      </w:r>
      <w:r w:rsidRPr="00654E3B">
        <w:rPr>
          <w:rFonts w:cs="Times New Roman"/>
        </w:rPr>
        <w:t>S), Državni zavod za statistiku (DZS), Europsku okolišnu agenciju (EEA), UNFCCC, EK, EUROSTAT, Organizacija za prehranu i poljoprivredu (FAO), Svjetska meteorološka organizacija (WMO) i dr.</w:t>
      </w:r>
    </w:p>
    <w:p w:rsidR="007D4A93" w:rsidRPr="00654E3B" w:rsidRDefault="007D4A93">
      <w:pPr>
        <w:jc w:val="center"/>
        <w:rPr>
          <w:rFonts w:cs="Times New Roman"/>
        </w:rPr>
      </w:pPr>
    </w:p>
    <w:p w:rsidR="00701038" w:rsidRPr="00F01191" w:rsidRDefault="00701038">
      <w:pPr>
        <w:jc w:val="center"/>
        <w:rPr>
          <w:rFonts w:cs="Times New Roman"/>
        </w:rPr>
      </w:pPr>
      <w:r w:rsidRPr="00F01191">
        <w:rPr>
          <w:rFonts w:cs="Times New Roman"/>
          <w:noProof/>
          <w:lang w:val="en-US"/>
        </w:rPr>
        <w:lastRenderedPageBreak/>
        <w:drawing>
          <wp:inline distT="0" distB="0" distL="0" distR="0" wp14:anchorId="601E1762" wp14:editId="7D73EEED">
            <wp:extent cx="5610218" cy="3721913"/>
            <wp:effectExtent l="0" t="0" r="0" b="0"/>
            <wp:docPr id="1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1953" cy="3723064"/>
                    </a:xfrm>
                    <a:prstGeom prst="rect">
                      <a:avLst/>
                    </a:prstGeom>
                    <a:noFill/>
                    <a:ln>
                      <a:noFill/>
                    </a:ln>
                  </pic:spPr>
                </pic:pic>
              </a:graphicData>
            </a:graphic>
          </wp:inline>
        </w:drawing>
      </w:r>
    </w:p>
    <w:p w:rsidR="007D4A93" w:rsidRPr="00654E3B" w:rsidRDefault="00EF0BEB">
      <w:pPr>
        <w:pStyle w:val="Slika"/>
        <w:spacing w:before="120"/>
        <w:jc w:val="center"/>
        <w:rPr>
          <w:rFonts w:ascii="Times New Roman" w:hAnsi="Times New Roman"/>
          <w:i/>
        </w:rPr>
      </w:pPr>
      <w:bookmarkStart w:id="335" w:name="_Toc484158379"/>
      <w:bookmarkStart w:id="336" w:name="_Toc33417104"/>
      <w:r w:rsidRPr="00654E3B">
        <w:rPr>
          <w:rFonts w:ascii="Times New Roman" w:hAnsi="Times New Roman"/>
          <w:i/>
        </w:rPr>
        <w:t>Slika 14-1: Shema protoka podataka i izvješća</w:t>
      </w:r>
      <w:bookmarkEnd w:id="335"/>
      <w:bookmarkEnd w:id="336"/>
    </w:p>
    <w:p w:rsidR="007D4A93" w:rsidRPr="00654E3B" w:rsidRDefault="00EF0BEB">
      <w:pPr>
        <w:rPr>
          <w:rFonts w:cs="Times New Roman"/>
        </w:rPr>
      </w:pPr>
      <w:r w:rsidRPr="00654E3B">
        <w:rPr>
          <w:rFonts w:cs="Times New Roman"/>
        </w:rPr>
        <w:t>Niskougljična strategija predlaže uvođenje računovodstvenog praćenja troškova za provedbu Niskougljične strategije, što znači, po svim horizontalnim sektorima. Praksu posebno iskazivanja troškova za klimatske aktivnosti ima EU, u okviru ESI fondova.</w:t>
      </w:r>
    </w:p>
    <w:p w:rsidR="007D4A93" w:rsidRPr="00654E3B" w:rsidRDefault="00EF0BEB">
      <w:pPr>
        <w:rPr>
          <w:rFonts w:cs="Times New Roman"/>
        </w:rPr>
      </w:pPr>
      <w:r w:rsidRPr="00654E3B">
        <w:rPr>
          <w:rFonts w:cs="Times New Roman"/>
        </w:rPr>
        <w:t>Pored izvješća koji su dio klimatske energetske politike, Sustav strateškog planiranja i upravljanja razvojem Republike Hrvatske</w:t>
      </w:r>
      <w:r w:rsidRPr="00F01191">
        <w:rPr>
          <w:rStyle w:val="FootnoteReference"/>
          <w:rFonts w:ascii="Times New Roman" w:hAnsi="Times New Roman" w:cs="Times New Roman"/>
        </w:rPr>
        <w:footnoteReference w:id="5"/>
      </w:r>
      <w:r w:rsidRPr="00F01191">
        <w:rPr>
          <w:rFonts w:cs="Times New Roman"/>
        </w:rPr>
        <w:t xml:space="preserve"> će se također koristiti za praćenje i izvještavanje o provedbi Niskougljične strategije.</w:t>
      </w:r>
    </w:p>
    <w:p w:rsidR="004D5D43" w:rsidRPr="00654E3B" w:rsidRDefault="004D5D43">
      <w:pPr>
        <w:rPr>
          <w:rFonts w:cs="Times New Roman"/>
        </w:rPr>
      </w:pPr>
    </w:p>
    <w:p w:rsidR="007D4A93" w:rsidRPr="00654E3B" w:rsidRDefault="00EF0BEB">
      <w:pPr>
        <w:pStyle w:val="Heading2"/>
        <w:rPr>
          <w:rFonts w:ascii="Times New Roman" w:hAnsi="Times New Roman" w:cs="Times New Roman"/>
        </w:rPr>
      </w:pPr>
      <w:bookmarkStart w:id="337" w:name="_Toc69810215"/>
      <w:r w:rsidRPr="00654E3B">
        <w:rPr>
          <w:rFonts w:ascii="Times New Roman" w:hAnsi="Times New Roman" w:cs="Times New Roman"/>
        </w:rPr>
        <w:t>14.4. STRATEŠKA PROCJENA UTJECAJA NISKOUGLJIČNE STRATEGIJE NA OKOLIŠ</w:t>
      </w:r>
      <w:bookmarkEnd w:id="330"/>
      <w:bookmarkEnd w:id="331"/>
      <w:bookmarkEnd w:id="337"/>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Sukladno propisima koji uređuju zaštitu okoliša, za Niskougljičnu strategiju provodi se postupak strateške procjene utjecaja na okoliš. Podloga za postupak strateške procjene utjecaja na okoliš je Strateška studija utjecaja na okoliš Strategije niskougljičnog razvoja Republike Hrvatske za razdoblje do 2030. s pogledom na 2050. godinu. S obzirom da postupak strateške procjene utjecaja na okoliš obuhvaća i glavnu ocjenu prihvatljivosti za ekološku mrežu, sastavni dio Strateške studije je i poglavlje Glavna ocjena prihvatljivosti Strategije za ekološku mrežu. </w:t>
      </w:r>
    </w:p>
    <w:p w:rsidR="007D4A93" w:rsidRPr="00654E3B" w:rsidRDefault="00EF0BEB">
      <w:pPr>
        <w:rPr>
          <w:rFonts w:cs="Times New Roman"/>
        </w:rPr>
      </w:pPr>
      <w:r w:rsidRPr="00654E3B">
        <w:rPr>
          <w:rFonts w:cs="Times New Roman"/>
        </w:rPr>
        <w:t xml:space="preserve">U Strateškoj studiji sagledan je mogući utjecaj Niskougljične strategije na okoliš i ekološku mrežu te su određene mjere zaštite okoliša i mjere ublažavanja utjecaja na ciljeve očuvanja i cjelovitost područja ekološke mreže. Mjere zaštite okoliša navedene su u tablici 14-2, a mjere ublažavanja negativnih utjecaja na ciljeve očuvanja i cjelovitost područja ekološke mreže navedene su u tablici 14-3. </w:t>
      </w:r>
    </w:p>
    <w:p w:rsidR="007D4A93" w:rsidRPr="00654E3B" w:rsidRDefault="00EF0BEB">
      <w:pPr>
        <w:keepNext/>
        <w:rPr>
          <w:rFonts w:cs="Times New Roman"/>
          <w:i/>
        </w:rPr>
      </w:pPr>
      <w:bookmarkStart w:id="338" w:name="_Hlk36541396"/>
      <w:r w:rsidRPr="00654E3B">
        <w:rPr>
          <w:rFonts w:cs="Times New Roman"/>
          <w:i/>
        </w:rPr>
        <w:lastRenderedPageBreak/>
        <w:t xml:space="preserve">Tablica 14-2: </w:t>
      </w:r>
      <w:r w:rsidRPr="00654E3B">
        <w:rPr>
          <w:rFonts w:cs="Times New Roman"/>
          <w:i/>
        </w:rPr>
        <w:tab/>
        <w:t>Mjere zaštite okoliša</w:t>
      </w:r>
    </w:p>
    <w:tbl>
      <w:tblPr>
        <w:tblStyle w:val="Izvjescetablica6"/>
        <w:tblW w:w="9776" w:type="dxa"/>
        <w:tblLook w:val="04A0" w:firstRow="1" w:lastRow="0" w:firstColumn="1" w:lastColumn="0" w:noHBand="0" w:noVBand="1"/>
      </w:tblPr>
      <w:tblGrid>
        <w:gridCol w:w="7933"/>
        <w:gridCol w:w="1843"/>
      </w:tblGrid>
      <w:tr w:rsidR="007D4A93" w:rsidRPr="00654E3B">
        <w:trPr>
          <w:tblHeader/>
        </w:trPr>
        <w:tc>
          <w:tcPr>
            <w:tcW w:w="7933" w:type="dxa"/>
            <w:shd w:val="clear" w:color="auto" w:fill="EAF1DD"/>
          </w:tcPr>
          <w:p w:rsidR="007D4A93" w:rsidRPr="00654E3B" w:rsidRDefault="00EF0BEB">
            <w:pPr>
              <w:jc w:val="center"/>
              <w:rPr>
                <w:rFonts w:cs="Times New Roman"/>
              </w:rPr>
            </w:pPr>
            <w:r w:rsidRPr="00654E3B">
              <w:rPr>
                <w:rFonts w:cs="Times New Roman"/>
              </w:rPr>
              <w:t>Mjera</w:t>
            </w:r>
          </w:p>
        </w:tc>
        <w:tc>
          <w:tcPr>
            <w:tcW w:w="1843" w:type="dxa"/>
            <w:shd w:val="clear" w:color="auto" w:fill="EAF1DD"/>
          </w:tcPr>
          <w:p w:rsidR="007D4A93" w:rsidRPr="00654E3B" w:rsidRDefault="00EF0BEB">
            <w:pPr>
              <w:jc w:val="center"/>
              <w:rPr>
                <w:rFonts w:cs="Times New Roman"/>
              </w:rPr>
            </w:pPr>
            <w:r w:rsidRPr="00654E3B">
              <w:rPr>
                <w:rFonts w:cs="Times New Roman"/>
              </w:rPr>
              <w:t>Nositelj provedbe</w:t>
            </w:r>
          </w:p>
        </w:tc>
      </w:tr>
      <w:tr w:rsidR="007D4A93" w:rsidRPr="00654E3B">
        <w:tc>
          <w:tcPr>
            <w:tcW w:w="7933" w:type="dxa"/>
            <w:vAlign w:val="center"/>
          </w:tcPr>
          <w:p w:rsidR="007D4A93" w:rsidRPr="00654E3B" w:rsidRDefault="00EF0BEB" w:rsidP="00FD4068">
            <w:pPr>
              <w:rPr>
                <w:rFonts w:cs="Times New Roman"/>
              </w:rPr>
            </w:pPr>
            <w:r w:rsidRPr="00654E3B">
              <w:rPr>
                <w:rFonts w:cs="Times New Roman"/>
              </w:rPr>
              <w:t>Sadnju „energetskih“ kultura na poljoprivrednim površinama planirati na način da i dalje bude raspoloživa potrebna količina površina za proizvodnju hrane.</w:t>
            </w:r>
          </w:p>
        </w:tc>
        <w:tc>
          <w:tcPr>
            <w:tcW w:w="1843" w:type="dxa"/>
            <w:vAlign w:val="center"/>
          </w:tcPr>
          <w:p w:rsidR="007D4A93" w:rsidRPr="00654E3B" w:rsidRDefault="00EF0BEB">
            <w:pPr>
              <w:rPr>
                <w:rFonts w:cs="Times New Roman"/>
              </w:rPr>
            </w:pPr>
            <w:r w:rsidRPr="00654E3B">
              <w:rPr>
                <w:rFonts w:cs="Times New Roman"/>
              </w:rPr>
              <w:t>Ministarstvo nadležno za poljoprivredu</w:t>
            </w:r>
          </w:p>
        </w:tc>
      </w:tr>
      <w:tr w:rsidR="007D4A93" w:rsidRPr="00654E3B">
        <w:trPr>
          <w:trHeight w:val="686"/>
        </w:trPr>
        <w:tc>
          <w:tcPr>
            <w:tcW w:w="7933" w:type="dxa"/>
            <w:vAlign w:val="center"/>
          </w:tcPr>
          <w:p w:rsidR="007D4A93" w:rsidRPr="00654E3B" w:rsidRDefault="00EF0BEB" w:rsidP="009A69B5">
            <w:pPr>
              <w:rPr>
                <w:rFonts w:cs="Times New Roman"/>
              </w:rPr>
            </w:pPr>
            <w:r w:rsidRPr="00654E3B">
              <w:rPr>
                <w:rFonts w:cs="Times New Roman"/>
              </w:rPr>
              <w:t xml:space="preserve">Prilikom odabira novih </w:t>
            </w:r>
            <w:r w:rsidR="009A69B5" w:rsidRPr="00654E3B">
              <w:rPr>
                <w:rFonts w:cs="Times New Roman"/>
              </w:rPr>
              <w:t xml:space="preserve">sorti </w:t>
            </w:r>
            <w:r w:rsidRPr="00654E3B">
              <w:rPr>
                <w:rFonts w:cs="Times New Roman"/>
              </w:rPr>
              <w:t xml:space="preserve">treba poticati oplemenjivačke programe autohtonih vrsta koji će odgovoriti na zahtjeve klimatskih promjena kao što je otpornost </w:t>
            </w:r>
            <w:r w:rsidR="009A69B5" w:rsidRPr="00654E3B">
              <w:rPr>
                <w:rFonts w:cs="Times New Roman"/>
              </w:rPr>
              <w:t xml:space="preserve">sorti </w:t>
            </w:r>
            <w:r w:rsidRPr="00654E3B">
              <w:rPr>
                <w:rFonts w:cs="Times New Roman"/>
              </w:rPr>
              <w:t>na sušu i otpornost na bolesti.</w:t>
            </w:r>
          </w:p>
        </w:tc>
        <w:tc>
          <w:tcPr>
            <w:tcW w:w="1843" w:type="dxa"/>
            <w:vAlign w:val="center"/>
          </w:tcPr>
          <w:p w:rsidR="007D4A93" w:rsidRPr="00654E3B" w:rsidRDefault="00EF0BEB">
            <w:pPr>
              <w:rPr>
                <w:rFonts w:cs="Times New Roman"/>
              </w:rPr>
            </w:pPr>
            <w:r w:rsidRPr="00654E3B">
              <w:rPr>
                <w:rFonts w:cs="Times New Roman"/>
              </w:rPr>
              <w:t>Ministarstvo nadležno za poljoprivredu</w:t>
            </w:r>
          </w:p>
        </w:tc>
      </w:tr>
      <w:tr w:rsidR="007D4A93" w:rsidRPr="00654E3B">
        <w:tc>
          <w:tcPr>
            <w:tcW w:w="7933" w:type="dxa"/>
            <w:vAlign w:val="center"/>
          </w:tcPr>
          <w:p w:rsidR="007D4A93" w:rsidRPr="00654E3B" w:rsidRDefault="00EF0BEB">
            <w:pPr>
              <w:rPr>
                <w:rFonts w:cs="Times New Roman"/>
              </w:rPr>
            </w:pPr>
            <w:r w:rsidRPr="00654E3B">
              <w:rPr>
                <w:rFonts w:cs="Times New Roman"/>
              </w:rPr>
              <w:t>Prilikom realizacije mjere unutar sektora Poljoprivreda, koja glasi: „Poboljšanje uzgojno-selekcijskog programa, zdravlja i dobrobiti životinja“, paziti na očuvanje genetske raznolikosti kako ne bi došlo do inbreeding-a (križanja u srodstvu).</w:t>
            </w:r>
          </w:p>
        </w:tc>
        <w:tc>
          <w:tcPr>
            <w:tcW w:w="1843" w:type="dxa"/>
            <w:vAlign w:val="center"/>
          </w:tcPr>
          <w:p w:rsidR="007D4A93" w:rsidRPr="00654E3B" w:rsidRDefault="00EF0BEB">
            <w:pPr>
              <w:rPr>
                <w:rFonts w:cs="Times New Roman"/>
              </w:rPr>
            </w:pPr>
            <w:r w:rsidRPr="00654E3B">
              <w:rPr>
                <w:rFonts w:cs="Times New Roman"/>
              </w:rPr>
              <w:t>Ministarstvo nadležno za poljoprivredu</w:t>
            </w:r>
          </w:p>
        </w:tc>
      </w:tr>
      <w:tr w:rsidR="007D4A93" w:rsidRPr="00654E3B">
        <w:tc>
          <w:tcPr>
            <w:tcW w:w="7933" w:type="dxa"/>
            <w:vAlign w:val="center"/>
          </w:tcPr>
          <w:p w:rsidR="007D4A93" w:rsidRPr="00654E3B" w:rsidRDefault="00EF0BEB">
            <w:pPr>
              <w:rPr>
                <w:rFonts w:cs="Times New Roman"/>
              </w:rPr>
            </w:pPr>
            <w:r w:rsidRPr="00654E3B">
              <w:rPr>
                <w:rFonts w:cs="Times New Roman"/>
              </w:rPr>
              <w:t>Izraditi smjernice o zonama osjetljivosti za vjetroelektrane i izraditi karte osjetljivosti prostora Republike Hrvatske, obzirom na ptice, šišmiše, i morske sisavce te unutar zona visoke osjetljivosti izbjegavati planiranje objekata vjetroelektrana. Smjernice ugraditi u prostorne planove.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prirodu</w:t>
            </w:r>
          </w:p>
          <w:p w:rsidR="007D4A93" w:rsidRPr="00654E3B" w:rsidRDefault="00B64939">
            <w:pPr>
              <w:rPr>
                <w:rFonts w:cs="Times New Roman"/>
              </w:rPr>
            </w:pPr>
            <w:r w:rsidRPr="00654E3B">
              <w:rPr>
                <w:rFonts w:cs="Times New Roman"/>
              </w:rPr>
              <w:t xml:space="preserve">Ministarstvo nadležno za poslove graditeljstva </w:t>
            </w:r>
          </w:p>
        </w:tc>
      </w:tr>
      <w:tr w:rsidR="007D4A93" w:rsidRPr="00654E3B">
        <w:tc>
          <w:tcPr>
            <w:tcW w:w="7933" w:type="dxa"/>
            <w:vAlign w:val="center"/>
          </w:tcPr>
          <w:p w:rsidR="007D4A93" w:rsidRPr="00654E3B" w:rsidRDefault="00EF0BEB">
            <w:pPr>
              <w:rPr>
                <w:rFonts w:cs="Times New Roman"/>
              </w:rPr>
            </w:pPr>
            <w:r w:rsidRPr="00654E3B">
              <w:rPr>
                <w:rFonts w:cs="Times New Roman"/>
              </w:rPr>
              <w:t>Izraditi karte zona osjetljivosti vrsta/stanišnih tipova vezanih uz vodene i močvarne ekosustave u odnosu na iskorištavanje hidroenergije i izgradnju hidroelektrana te unutar zona visoke osjetljivosti izbjegavati planiranje hidroenergetskih objekata. Smjernice ugraditi u prostorne planove.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prirodu</w:t>
            </w:r>
          </w:p>
          <w:p w:rsidR="007D4A93" w:rsidRPr="00654E3B" w:rsidRDefault="00B64939">
            <w:pPr>
              <w:rPr>
                <w:rFonts w:cs="Times New Roman"/>
              </w:rPr>
            </w:pPr>
            <w:r w:rsidRPr="00654E3B">
              <w:rPr>
                <w:rFonts w:cs="Times New Roman"/>
              </w:rPr>
              <w:t xml:space="preserve">Ministarstvo nadležno za poslove graditeljstva  </w:t>
            </w:r>
          </w:p>
        </w:tc>
      </w:tr>
      <w:tr w:rsidR="007D4A93" w:rsidRPr="00654E3B">
        <w:tc>
          <w:tcPr>
            <w:tcW w:w="7933" w:type="dxa"/>
            <w:vAlign w:val="center"/>
          </w:tcPr>
          <w:p w:rsidR="007D4A93" w:rsidRPr="00654E3B" w:rsidRDefault="00EF0BEB">
            <w:pPr>
              <w:rPr>
                <w:rFonts w:cs="Times New Roman"/>
              </w:rPr>
            </w:pPr>
            <w:r w:rsidRPr="00654E3B">
              <w:rPr>
                <w:rFonts w:cs="Times New Roman"/>
              </w:rPr>
              <w:t>Dugoročno planirati uspostavu sustava monitoringa stradalih vrsta te definirati način razmjene prikupljenih podataka za postojeće i planirane vjetroelektrane.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prirodu</w:t>
            </w:r>
          </w:p>
        </w:tc>
      </w:tr>
      <w:tr w:rsidR="007D4A93" w:rsidRPr="00654E3B">
        <w:trPr>
          <w:trHeight w:val="1230"/>
        </w:trPr>
        <w:tc>
          <w:tcPr>
            <w:tcW w:w="7933" w:type="dxa"/>
            <w:vAlign w:val="center"/>
          </w:tcPr>
          <w:p w:rsidR="007D4A93" w:rsidRPr="00654E3B" w:rsidRDefault="00EF0BEB">
            <w:pPr>
              <w:rPr>
                <w:rFonts w:cs="Times New Roman"/>
              </w:rPr>
            </w:pPr>
            <w:r w:rsidRPr="00654E3B">
              <w:rPr>
                <w:rFonts w:cs="Times New Roman"/>
              </w:rPr>
              <w:t>Izraditi smjernice za procjenu kumulativnih utjecaja izgradnje hidroelektrana prilagođenu vrstama i stanišnim tipovima Republike Hrvatske. Smjernice ugraditi u prostorne planove.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okoliš</w:t>
            </w:r>
          </w:p>
          <w:p w:rsidR="007D4A93" w:rsidRPr="00654E3B" w:rsidRDefault="00B64939">
            <w:pPr>
              <w:rPr>
                <w:rFonts w:cs="Times New Roman"/>
              </w:rPr>
            </w:pPr>
            <w:r w:rsidRPr="00654E3B">
              <w:rPr>
                <w:rFonts w:eastAsia="Times New Roman" w:cs="Times New Roman"/>
                <w:color w:val="212121"/>
              </w:rPr>
              <w:t xml:space="preserve">Ministarstvo nadležno za poslove graditeljstva </w:t>
            </w:r>
            <w:r w:rsidRPr="00654E3B">
              <w:rPr>
                <w:rFonts w:cs="Times New Roman"/>
              </w:rPr>
              <w:t xml:space="preserve"> </w:t>
            </w:r>
            <w:r w:rsidR="00EF0BEB" w:rsidRPr="00654E3B">
              <w:rPr>
                <w:rFonts w:cs="Times New Roman"/>
              </w:rPr>
              <w:t xml:space="preserve"> </w:t>
            </w:r>
          </w:p>
        </w:tc>
      </w:tr>
      <w:tr w:rsidR="007D4A93" w:rsidRPr="00654E3B">
        <w:tc>
          <w:tcPr>
            <w:tcW w:w="7933" w:type="dxa"/>
          </w:tcPr>
          <w:p w:rsidR="007D4A93" w:rsidRPr="00654E3B" w:rsidRDefault="00EF0BEB">
            <w:pPr>
              <w:rPr>
                <w:rFonts w:cs="Times New Roman"/>
              </w:rPr>
            </w:pPr>
            <w:r w:rsidRPr="00654E3B">
              <w:rPr>
                <w:rFonts w:cs="Times New Roman"/>
              </w:rPr>
              <w:t xml:space="preserve">Prilikom planiranja hidromelioracijskih zahvata i sustava zaštite od nepogoda (obrana od poplava) te hidroelektrana pri izradi studije isplativosti ili izvedivosti (eng. </w:t>
            </w:r>
            <w:r w:rsidRPr="00654E3B">
              <w:rPr>
                <w:rFonts w:cs="Times New Roman"/>
                <w:i/>
              </w:rPr>
              <w:t>Feasibility study</w:t>
            </w:r>
            <w:r w:rsidRPr="00654E3B">
              <w:rPr>
                <w:rFonts w:cs="Times New Roman"/>
              </w:rPr>
              <w:t xml:space="preserve">) uzeti u obzir i vrednovanje usluga ekosustava (eng. </w:t>
            </w:r>
            <w:r w:rsidRPr="00654E3B">
              <w:rPr>
                <w:rFonts w:cs="Times New Roman"/>
                <w:i/>
              </w:rPr>
              <w:t>Ecosystem services</w:t>
            </w:r>
            <w:r w:rsidRPr="00654E3B">
              <w:rPr>
                <w:rFonts w:cs="Times New Roman"/>
              </w:rPr>
              <w:t>), osobito u smislu analize vrijednosti očuvanih poplavnih područja koja ublažavaju klimatske promjene (prirodne retencije za prihvat poplavnih valova) i vežu stakleničke plinove (močvare i šumski ekosustavi). Ova mjera provodit će se nakon projekta kartiranja i procjene vrijednosti ekosustava te izrade priručnika za vrednovanje usluge ekosustava, koji će provesti Ministarstvo nadležno za prirodu (do 2023. g.).</w:t>
            </w:r>
          </w:p>
        </w:tc>
        <w:tc>
          <w:tcPr>
            <w:tcW w:w="1843" w:type="dxa"/>
            <w:vAlign w:val="center"/>
          </w:tcPr>
          <w:p w:rsidR="007D4A93" w:rsidRPr="00654E3B" w:rsidRDefault="00EF0BEB">
            <w:pPr>
              <w:rPr>
                <w:rFonts w:cs="Times New Roman"/>
              </w:rPr>
            </w:pPr>
            <w:r w:rsidRPr="00654E3B">
              <w:rPr>
                <w:rFonts w:cs="Times New Roman"/>
              </w:rPr>
              <w:t>Investitor</w:t>
            </w:r>
          </w:p>
        </w:tc>
      </w:tr>
      <w:tr w:rsidR="007D4A93" w:rsidRPr="00654E3B">
        <w:tc>
          <w:tcPr>
            <w:tcW w:w="7933" w:type="dxa"/>
            <w:vAlign w:val="center"/>
          </w:tcPr>
          <w:p w:rsidR="007D4A93" w:rsidRPr="00654E3B" w:rsidRDefault="00EF0BEB">
            <w:pPr>
              <w:rPr>
                <w:rFonts w:cs="Times New Roman"/>
              </w:rPr>
            </w:pPr>
            <w:r w:rsidRPr="00654E3B">
              <w:rPr>
                <w:rFonts w:cs="Times New Roman"/>
              </w:rPr>
              <w:lastRenderedPageBreak/>
              <w:t>Izraditi smjernice o zonama osjetljivosti za FN sustave i izraditi karte osjetljivosti prostora Republike Hrvatske, obzirom na ciljne stanišne tipove te unutar zona visoke osjetljivosti izbjegavati planiranje FN sustava. Smjernice ugraditi u prostorne planove.</w:t>
            </w:r>
          </w:p>
        </w:tc>
        <w:tc>
          <w:tcPr>
            <w:tcW w:w="1843" w:type="dxa"/>
            <w:vAlign w:val="center"/>
          </w:tcPr>
          <w:p w:rsidR="007D4A93" w:rsidRPr="00654E3B" w:rsidRDefault="00EF0BEB">
            <w:pPr>
              <w:rPr>
                <w:rFonts w:cs="Times New Roman"/>
              </w:rPr>
            </w:pPr>
            <w:r w:rsidRPr="00654E3B">
              <w:rPr>
                <w:rFonts w:cs="Times New Roman"/>
              </w:rPr>
              <w:t>Ministarstvo nadležno za energetiku, Ministarstvo nadležno za prirodu</w:t>
            </w:r>
          </w:p>
          <w:p w:rsidR="007D4A93" w:rsidRPr="00654E3B" w:rsidRDefault="00B64939">
            <w:pPr>
              <w:rPr>
                <w:rFonts w:cs="Times New Roman"/>
              </w:rPr>
            </w:pPr>
            <w:r w:rsidRPr="00654E3B">
              <w:rPr>
                <w:rFonts w:cs="Times New Roman"/>
              </w:rPr>
              <w:t>Ministarstvo nadležno za poslove graditeljstva</w:t>
            </w:r>
            <w:r w:rsidRPr="00654E3B">
              <w:rPr>
                <w:rFonts w:eastAsia="Times New Roman" w:cs="Times New Roman"/>
                <w:color w:val="212121"/>
              </w:rPr>
              <w:t xml:space="preserve"> </w:t>
            </w:r>
            <w:r w:rsidRPr="00654E3B">
              <w:rPr>
                <w:rFonts w:cs="Times New Roman"/>
              </w:rPr>
              <w:t xml:space="preserve"> </w:t>
            </w:r>
          </w:p>
        </w:tc>
      </w:tr>
      <w:tr w:rsidR="007D4A93" w:rsidRPr="00654E3B">
        <w:tc>
          <w:tcPr>
            <w:tcW w:w="7933" w:type="dxa"/>
          </w:tcPr>
          <w:p w:rsidR="007D4A93" w:rsidRPr="00654E3B" w:rsidRDefault="00EF0BEB">
            <w:pPr>
              <w:rPr>
                <w:rFonts w:cs="Times New Roman"/>
              </w:rPr>
            </w:pPr>
            <w:r w:rsidRPr="00654E3B">
              <w:rPr>
                <w:rFonts w:cs="Times New Roman"/>
              </w:rPr>
              <w:t>Izraditi smjernice za procjene utjecaja vjetroelektrana, fotonaponskog sustava i hidroelektrana na kulturnu baštinu i kulturni krajobraz, pri čemu treba uzeti u obzir i možebitne indirektne utjecaje.</w:t>
            </w:r>
          </w:p>
        </w:tc>
        <w:tc>
          <w:tcPr>
            <w:tcW w:w="1843" w:type="dxa"/>
            <w:vAlign w:val="center"/>
          </w:tcPr>
          <w:p w:rsidR="007D4A93" w:rsidRPr="00654E3B" w:rsidRDefault="00EF0BEB">
            <w:pPr>
              <w:rPr>
                <w:rFonts w:cs="Times New Roman"/>
              </w:rPr>
            </w:pPr>
            <w:r w:rsidRPr="00654E3B">
              <w:rPr>
                <w:rFonts w:cs="Times New Roman"/>
              </w:rPr>
              <w:t>Ministarstvo nadležno za zaštitu kulture</w:t>
            </w:r>
          </w:p>
        </w:tc>
      </w:tr>
      <w:tr w:rsidR="007D4A93" w:rsidRPr="00654E3B">
        <w:tc>
          <w:tcPr>
            <w:tcW w:w="7933" w:type="dxa"/>
            <w:vAlign w:val="center"/>
          </w:tcPr>
          <w:p w:rsidR="007D4A93" w:rsidRPr="00654E3B" w:rsidRDefault="00EF0BEB">
            <w:pPr>
              <w:spacing w:before="200" w:after="120"/>
              <w:rPr>
                <w:rFonts w:cs="Times New Roman"/>
              </w:rPr>
            </w:pPr>
            <w:r w:rsidRPr="00654E3B">
              <w:rPr>
                <w:rFonts w:cs="Times New Roman"/>
              </w:rPr>
              <w:t>Izraditi Krajobraznu osnovu Hrvatske i utvrditi standarde i kriterije za provođenje tipološke klasifikacije i ocjene karaktera krajobraza na svim razinama (nacionalna, regionalna, lokalna).</w:t>
            </w:r>
          </w:p>
        </w:tc>
        <w:tc>
          <w:tcPr>
            <w:tcW w:w="1843" w:type="dxa"/>
            <w:vAlign w:val="center"/>
          </w:tcPr>
          <w:p w:rsidR="007D4A93" w:rsidRPr="00654E3B" w:rsidRDefault="00EF0BEB">
            <w:pPr>
              <w:rPr>
                <w:rFonts w:cs="Times New Roman"/>
              </w:rPr>
            </w:pPr>
            <w:r w:rsidRPr="00654E3B">
              <w:rPr>
                <w:rFonts w:cs="Times New Roman"/>
              </w:rPr>
              <w:t>Ministarstvo nadležno za zaštitu okoliša,</w:t>
            </w:r>
          </w:p>
          <w:p w:rsidR="007D4A93" w:rsidRPr="00654E3B" w:rsidRDefault="00B64939">
            <w:pPr>
              <w:rPr>
                <w:rFonts w:cs="Times New Roman"/>
              </w:rPr>
            </w:pPr>
            <w:r w:rsidRPr="00654E3B">
              <w:rPr>
                <w:rFonts w:cs="Times New Roman"/>
              </w:rPr>
              <w:t>Ministarstvo nadležno za poslove graditeljstva</w:t>
            </w:r>
            <w:r w:rsidRPr="00654E3B" w:rsidDel="00B64939">
              <w:rPr>
                <w:rFonts w:cs="Times New Roman"/>
              </w:rPr>
              <w:t xml:space="preserve"> </w:t>
            </w:r>
            <w:r w:rsidR="00EF0BEB" w:rsidRPr="00654E3B">
              <w:rPr>
                <w:rFonts w:cs="Times New Roman"/>
              </w:rPr>
              <w:t>Ministarstvo nadležno za zaštitu kulture</w:t>
            </w:r>
          </w:p>
        </w:tc>
      </w:tr>
      <w:tr w:rsidR="007D4A93" w:rsidRPr="00654E3B">
        <w:tc>
          <w:tcPr>
            <w:tcW w:w="7933" w:type="dxa"/>
          </w:tcPr>
          <w:p w:rsidR="007D4A93" w:rsidRPr="00654E3B" w:rsidRDefault="00EF0BEB">
            <w:pPr>
              <w:rPr>
                <w:rFonts w:cs="Times New Roman"/>
              </w:rPr>
            </w:pPr>
            <w:r w:rsidRPr="00654E3B">
              <w:rPr>
                <w:rFonts w:cs="Times New Roman"/>
              </w:rPr>
              <w:t>Kod projektiranja sustava hlađenja kogeneracijskih postrojenja, u obzir uzeti negativne učinke termičkog onečišćenja na okoliš i mogućnosti za smanjenje topline raspršene u površinsku vodu.</w:t>
            </w:r>
          </w:p>
        </w:tc>
        <w:tc>
          <w:tcPr>
            <w:tcW w:w="1843" w:type="dxa"/>
            <w:vAlign w:val="center"/>
          </w:tcPr>
          <w:p w:rsidR="007D4A93" w:rsidRPr="00654E3B" w:rsidRDefault="00EF0BEB">
            <w:pPr>
              <w:rPr>
                <w:rFonts w:cs="Times New Roman"/>
              </w:rPr>
            </w:pPr>
            <w:r w:rsidRPr="00654E3B">
              <w:rPr>
                <w:rFonts w:cs="Times New Roman"/>
              </w:rPr>
              <w:t>Investitor</w:t>
            </w:r>
          </w:p>
        </w:tc>
      </w:tr>
    </w:tbl>
    <w:p w:rsidR="007D4A93" w:rsidRPr="00654E3B" w:rsidRDefault="007D4A93">
      <w:pPr>
        <w:ind w:left="1418" w:hanging="1418"/>
        <w:rPr>
          <w:rFonts w:cs="Times New Roman"/>
          <w:szCs w:val="24"/>
        </w:rPr>
      </w:pPr>
    </w:p>
    <w:p w:rsidR="007D4A93" w:rsidRPr="00654E3B" w:rsidRDefault="00EF0BEB" w:rsidP="00863CF6">
      <w:pPr>
        <w:keepNext/>
        <w:ind w:left="1134" w:hanging="1134"/>
        <w:rPr>
          <w:rFonts w:eastAsia="Times New Roman" w:cs="Times New Roman"/>
          <w:i/>
          <w:iCs/>
          <w:szCs w:val="24"/>
          <w:lang w:eastAsia="ar-SA"/>
        </w:rPr>
      </w:pPr>
      <w:r w:rsidRPr="00654E3B">
        <w:rPr>
          <w:rFonts w:cs="Times New Roman"/>
          <w:i/>
          <w:szCs w:val="24"/>
        </w:rPr>
        <w:lastRenderedPageBreak/>
        <w:t xml:space="preserve">Tablica 14-3: </w:t>
      </w:r>
      <w:r w:rsidRPr="00654E3B">
        <w:rPr>
          <w:rFonts w:eastAsia="Times New Roman" w:cs="Times New Roman"/>
          <w:i/>
          <w:iCs/>
          <w:szCs w:val="24"/>
          <w:lang w:eastAsia="ar-SA"/>
        </w:rPr>
        <w:t>Mjere ublažavanja negativnih utjecaja na ciljeve očuvanja i cjelovitost područja ekološke mreže</w:t>
      </w: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3"/>
        <w:gridCol w:w="2043"/>
      </w:tblGrid>
      <w:tr w:rsidR="007D4A93" w:rsidRPr="00654E3B" w:rsidTr="007D4A93">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7733" w:type="dxa"/>
            <w:tcBorders>
              <w:bottom w:val="none" w:sz="0" w:space="0" w:color="auto"/>
              <w:right w:val="none" w:sz="0" w:space="0" w:color="auto"/>
            </w:tcBorders>
            <w:shd w:val="clear" w:color="auto" w:fill="EAF1DD"/>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MJERA</w:t>
            </w:r>
          </w:p>
        </w:tc>
        <w:tc>
          <w:tcPr>
            <w:tcW w:w="2043" w:type="dxa"/>
            <w:tcBorders>
              <w:left w:val="none" w:sz="0" w:space="0" w:color="auto"/>
            </w:tcBorders>
            <w:shd w:val="clear" w:color="auto" w:fill="EAF1DD"/>
          </w:tcPr>
          <w:p w:rsidR="007D4A93" w:rsidRPr="00654E3B" w:rsidRDefault="00EF0BEB" w:rsidP="00863CF6">
            <w:pPr>
              <w:pStyle w:val="tekstutablicama"/>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NOSITELJ PROVEDBE</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Izraditi smjernice o zonama osjetljivosti za vjetroelektrane i izraditi karte osjetljivosti prostora Republike Hrvatske, obzirom na ptice, šišmiše, i morske sisavce te unutar zona visoke osjetljivosti izbjegavati planiranje objekata vjetroelektrana. Smjernice ugraditi u prostorne planove.</w:t>
            </w:r>
          </w:p>
        </w:tc>
        <w:tc>
          <w:tcPr>
            <w:tcW w:w="2043" w:type="dxa"/>
            <w:shd w:val="clear" w:color="auto" w:fill="auto"/>
            <w:vAlign w:val="center"/>
          </w:tcPr>
          <w:p w:rsidR="007D4A93" w:rsidRPr="00654E3B" w:rsidRDefault="00EF0BEB" w:rsidP="00863CF6">
            <w:pPr>
              <w:pStyle w:val="tekstutablicama"/>
              <w:keepNex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energetiku, </w:t>
            </w:r>
          </w:p>
          <w:p w:rsidR="007D4A93" w:rsidRPr="00654E3B" w:rsidRDefault="00EF0BEB" w:rsidP="00863CF6">
            <w:pPr>
              <w:pStyle w:val="tekstutablicama"/>
              <w:keepNex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Ministarstvo nadležno za prirodu</w:t>
            </w:r>
          </w:p>
          <w:p w:rsidR="007D4A93" w:rsidRPr="00654E3B" w:rsidRDefault="00B64939" w:rsidP="00863CF6">
            <w:pPr>
              <w:pStyle w:val="tekstutablicama"/>
              <w:keepNex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poslove graditeljstva </w:t>
            </w:r>
          </w:p>
        </w:tc>
      </w:tr>
      <w:tr w:rsidR="007D4A93" w:rsidRPr="00654E3B" w:rsidTr="007D4A93">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Izraditi karte zona osjetljivosti vrsta/stanišnih tipova vezanih uz vodene i močvarne ekosustave u odnosu na iskorištavanje hidroenergije i izgradnju hidroelektrana te unutar zona visoke osjetljivosti izbjegavati planiranje hidroenergetskih objekata. Smjernice ugraditi u prostorne planove.</w:t>
            </w:r>
          </w:p>
        </w:tc>
        <w:tc>
          <w:tcPr>
            <w:tcW w:w="2043" w:type="dxa"/>
            <w:shd w:val="clear" w:color="auto" w:fill="auto"/>
            <w:vAlign w:val="center"/>
          </w:tcPr>
          <w:p w:rsidR="007D4A93" w:rsidRPr="00654E3B" w:rsidRDefault="00EF0BEB" w:rsidP="00863CF6">
            <w:pPr>
              <w:pStyle w:val="tekstutablicama"/>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energetiku, Ministarstvo nadležno za prirodu, </w:t>
            </w:r>
            <w:r w:rsidR="00B64939" w:rsidRPr="00654E3B">
              <w:rPr>
                <w:rFonts w:ascii="Times New Roman" w:hAnsi="Times New Roman" w:cs="Times New Roman"/>
                <w:sz w:val="22"/>
                <w:szCs w:val="22"/>
              </w:rPr>
              <w:t xml:space="preserve">Ministarstvo nadležno za poslove graditeljstva </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Dugoročno planirati uspostavu sustava monitoringa stradalih vrsta te definirati način razmjene prikupljenih podataka za postojeće i planirane vjetroelektrane.</w:t>
            </w:r>
          </w:p>
        </w:tc>
        <w:tc>
          <w:tcPr>
            <w:tcW w:w="2043" w:type="dxa"/>
            <w:shd w:val="clear" w:color="auto" w:fill="auto"/>
            <w:vAlign w:val="center"/>
          </w:tcPr>
          <w:p w:rsidR="007D4A93" w:rsidRPr="00654E3B" w:rsidRDefault="00EF0BEB" w:rsidP="00863CF6">
            <w:pPr>
              <w:pStyle w:val="tekstutablicama"/>
              <w:keepNex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Ministarstvo nadležno za energetiku, Ministarstvo nadležno za prirodu</w:t>
            </w:r>
          </w:p>
        </w:tc>
      </w:tr>
      <w:tr w:rsidR="007D4A93" w:rsidRPr="00654E3B" w:rsidTr="007D4A93">
        <w:trPr>
          <w:trHeight w:val="1230"/>
        </w:trPr>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Izraditi smjernice za procjenu kumulativnih utjecaja izgradnje hidroelektrana prilagođenu vrstama i stanišnim tipovima Republike Hrvatske. Smjernice ugraditi u prostorne planove.</w:t>
            </w:r>
          </w:p>
        </w:tc>
        <w:tc>
          <w:tcPr>
            <w:tcW w:w="2043" w:type="dxa"/>
            <w:shd w:val="clear" w:color="auto" w:fill="auto"/>
            <w:vAlign w:val="center"/>
          </w:tcPr>
          <w:p w:rsidR="007D4A93" w:rsidRPr="00654E3B" w:rsidRDefault="00EF0BEB" w:rsidP="00863CF6">
            <w:pPr>
              <w:pStyle w:val="tekstutablicama"/>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energetiku, Ministarstvo nadležno za prirodu, </w:t>
            </w:r>
            <w:r w:rsidR="00B64939" w:rsidRPr="00654E3B">
              <w:rPr>
                <w:rFonts w:ascii="Times New Roman" w:hAnsi="Times New Roman" w:cs="Times New Roman"/>
                <w:sz w:val="22"/>
                <w:szCs w:val="22"/>
              </w:rPr>
              <w:t xml:space="preserve">Ministarstvo nadležno za poslove graditeljstva </w:t>
            </w:r>
          </w:p>
        </w:tc>
      </w:tr>
      <w:tr w:rsidR="007D4A93" w:rsidRPr="00654E3B" w:rsidTr="007D4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bottom w:val="none" w:sz="0" w:space="0" w:color="auto"/>
            </w:tcBorders>
            <w:shd w:val="clear" w:color="auto" w:fill="auto"/>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 xml:space="preserve">Prilikom planiranja hidromelioracijskih zahvata i sustava zaštite od nepogoda (obrana od poplava) te hidroelektrana pri izradi studije isplativosti ili izvedivosti (eng. </w:t>
            </w:r>
            <w:r w:rsidRPr="00654E3B">
              <w:rPr>
                <w:rFonts w:ascii="Times New Roman" w:hAnsi="Times New Roman" w:cs="Times New Roman"/>
                <w:i/>
                <w:sz w:val="22"/>
                <w:szCs w:val="22"/>
              </w:rPr>
              <w:t>Feasibility study</w:t>
            </w:r>
            <w:r w:rsidRPr="00654E3B">
              <w:rPr>
                <w:rFonts w:ascii="Times New Roman" w:hAnsi="Times New Roman" w:cs="Times New Roman"/>
                <w:sz w:val="22"/>
                <w:szCs w:val="22"/>
              </w:rPr>
              <w:t xml:space="preserve">) uzeti u obzir i vrednovanje usluga ekosustava (eng. </w:t>
            </w:r>
            <w:r w:rsidRPr="00654E3B">
              <w:rPr>
                <w:rFonts w:ascii="Times New Roman" w:hAnsi="Times New Roman" w:cs="Times New Roman"/>
                <w:i/>
                <w:sz w:val="22"/>
                <w:szCs w:val="22"/>
              </w:rPr>
              <w:t>Ecosystem services</w:t>
            </w:r>
            <w:r w:rsidRPr="00654E3B">
              <w:rPr>
                <w:rFonts w:ascii="Times New Roman" w:hAnsi="Times New Roman" w:cs="Times New Roman"/>
                <w:sz w:val="22"/>
                <w:szCs w:val="22"/>
              </w:rPr>
              <w:t>), osobito u smislu analize vrijednosti očuvanih poplavnih područja koja ublažavaju klimatske promjene (prirodne retencije za prihvat poplavnih valova) i vežu stakleničke plinove (močvare i šumski ekosustavi). Ova mjera provodit će se nakon projekta kartiranja i procjene vrijednosti ekosustava te izrade priručnika za vrednovanje usluge ekosustava, koji će provesti Ministarstvo nadležno za prirodu (do 2023. g.).</w:t>
            </w:r>
          </w:p>
        </w:tc>
        <w:tc>
          <w:tcPr>
            <w:tcW w:w="2043" w:type="dxa"/>
            <w:shd w:val="clear" w:color="auto" w:fill="auto"/>
            <w:vAlign w:val="center"/>
          </w:tcPr>
          <w:p w:rsidR="007D4A93" w:rsidRPr="00654E3B" w:rsidRDefault="00EF0BEB" w:rsidP="00863CF6">
            <w:pPr>
              <w:pStyle w:val="tekstutablicama"/>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Investitor</w:t>
            </w:r>
          </w:p>
        </w:tc>
      </w:tr>
      <w:tr w:rsidR="007D4A93" w:rsidRPr="00654E3B" w:rsidTr="007D4A93">
        <w:tc>
          <w:tcPr>
            <w:cnfStyle w:val="001000000000" w:firstRow="0" w:lastRow="0" w:firstColumn="1" w:lastColumn="0" w:oddVBand="0" w:evenVBand="0" w:oddHBand="0" w:evenHBand="0" w:firstRowFirstColumn="0" w:firstRowLastColumn="0" w:lastRowFirstColumn="0" w:lastRowLastColumn="0"/>
            <w:tcW w:w="7733" w:type="dxa"/>
            <w:tcBorders>
              <w:top w:val="none" w:sz="0" w:space="0" w:color="auto"/>
            </w:tcBorders>
            <w:shd w:val="clear" w:color="auto" w:fill="auto"/>
            <w:vAlign w:val="center"/>
          </w:tcPr>
          <w:p w:rsidR="007D4A93" w:rsidRPr="00654E3B" w:rsidRDefault="00EF0BEB" w:rsidP="00863CF6">
            <w:pPr>
              <w:pStyle w:val="tekstutablicama"/>
              <w:keepNext/>
              <w:rPr>
                <w:rFonts w:ascii="Times New Roman" w:hAnsi="Times New Roman" w:cs="Times New Roman"/>
                <w:sz w:val="22"/>
                <w:szCs w:val="22"/>
              </w:rPr>
            </w:pPr>
            <w:r w:rsidRPr="00654E3B">
              <w:rPr>
                <w:rFonts w:ascii="Times New Roman" w:hAnsi="Times New Roman" w:cs="Times New Roman"/>
                <w:sz w:val="22"/>
                <w:szCs w:val="22"/>
              </w:rPr>
              <w:t>Izraditi smjernice o zonama osjetljivosti za FN sustave i izraditi karte osjetljivosti prostora Republike Hrvatske, obzirom na ciljne stanišne tipove te unutar zona visoke osjetljivosti izbjegavati planiranje FN sustava. Smjernice ugraditi u prostorne planove.</w:t>
            </w:r>
          </w:p>
        </w:tc>
        <w:tc>
          <w:tcPr>
            <w:tcW w:w="2043" w:type="dxa"/>
            <w:shd w:val="clear" w:color="auto" w:fill="auto"/>
            <w:vAlign w:val="center"/>
          </w:tcPr>
          <w:p w:rsidR="00B64939" w:rsidRPr="00654E3B" w:rsidRDefault="00EF0BEB" w:rsidP="00863CF6">
            <w:pPr>
              <w:pStyle w:val="tekstutablicama"/>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energetiku, Ministarstvo nadležno za prirodu, </w:t>
            </w:r>
          </w:p>
          <w:p w:rsidR="007D4A93" w:rsidRPr="00654E3B" w:rsidRDefault="00B64939" w:rsidP="00863CF6">
            <w:pPr>
              <w:pStyle w:val="tekstutablicama"/>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54E3B">
              <w:rPr>
                <w:rFonts w:ascii="Times New Roman" w:hAnsi="Times New Roman" w:cs="Times New Roman"/>
                <w:sz w:val="22"/>
                <w:szCs w:val="22"/>
              </w:rPr>
              <w:t xml:space="preserve">Ministarstvo nadležno za poslove graditeljstva </w:t>
            </w:r>
            <w:bookmarkEnd w:id="338"/>
          </w:p>
        </w:tc>
      </w:tr>
    </w:tbl>
    <w:p w:rsidR="007D4A93" w:rsidRPr="00654E3B" w:rsidRDefault="007D4A93">
      <w:pPr>
        <w:rPr>
          <w:rFonts w:cs="Times New Roman"/>
        </w:rPr>
      </w:pPr>
    </w:p>
    <w:p w:rsidR="007D4A93" w:rsidRPr="00654E3B" w:rsidRDefault="00EF0BEB">
      <w:pPr>
        <w:rPr>
          <w:rFonts w:cs="Times New Roman"/>
        </w:rPr>
      </w:pPr>
      <w:r w:rsidRPr="00654E3B">
        <w:rPr>
          <w:rFonts w:cs="Times New Roman"/>
        </w:rPr>
        <w:t>Uz primjenu mjera zaštite okoliša i mjera ublažavanja negativnih utjecaja na ciljeve očuvanja i cjelovitost područja ekološke mreže, Strategija niskougljičnog razvoja Republike Hrvatske do 2030. s pogledom na 2050. godinu prihvatljiva je za okoliš i ekološku mrežu.</w:t>
      </w:r>
    </w:p>
    <w:p w:rsidR="007D4A93" w:rsidRPr="00654E3B" w:rsidRDefault="00EF0BEB">
      <w:pPr>
        <w:rPr>
          <w:rFonts w:cs="Times New Roman"/>
        </w:rPr>
      </w:pPr>
      <w:r w:rsidRPr="00654E3B">
        <w:rPr>
          <w:rFonts w:cs="Times New Roman"/>
        </w:rPr>
        <w:br w:type="page"/>
      </w:r>
    </w:p>
    <w:p w:rsidR="007D4A93" w:rsidRPr="00654E3B" w:rsidRDefault="00EF0BEB">
      <w:pPr>
        <w:pStyle w:val="Heading1"/>
        <w:rPr>
          <w:rFonts w:ascii="Times New Roman" w:hAnsi="Times New Roman" w:cs="Times New Roman"/>
        </w:rPr>
      </w:pPr>
      <w:bookmarkStart w:id="339" w:name="_Ref59110413"/>
      <w:bookmarkStart w:id="340" w:name="_Ref59110465"/>
      <w:bookmarkStart w:id="341" w:name="_Ref59111247"/>
      <w:bookmarkStart w:id="342" w:name="_Toc69810216"/>
      <w:r w:rsidRPr="00654E3B">
        <w:rPr>
          <w:rFonts w:ascii="Times New Roman" w:hAnsi="Times New Roman" w:cs="Times New Roman"/>
        </w:rPr>
        <w:lastRenderedPageBreak/>
        <w:t>15.</w:t>
      </w:r>
      <w:r w:rsidRPr="00654E3B">
        <w:rPr>
          <w:rFonts w:ascii="Times New Roman" w:hAnsi="Times New Roman" w:cs="Times New Roman"/>
        </w:rPr>
        <w:tab/>
        <w:t>INFORMACIJA O SCENARIJU KLIMATSKE NEUTRALNOSTI</w:t>
      </w:r>
      <w:bookmarkEnd w:id="339"/>
      <w:bookmarkEnd w:id="340"/>
      <w:bookmarkEnd w:id="341"/>
      <w:bookmarkEnd w:id="342"/>
      <w:r w:rsidRPr="00654E3B">
        <w:rPr>
          <w:rFonts w:ascii="Times New Roman" w:hAnsi="Times New Roman" w:cs="Times New Roman"/>
        </w:rPr>
        <w:t xml:space="preserve"> </w:t>
      </w:r>
    </w:p>
    <w:p w:rsidR="007D4A93" w:rsidRPr="00654E3B" w:rsidRDefault="007D4A93">
      <w:pPr>
        <w:rPr>
          <w:rFonts w:cs="Times New Roman"/>
        </w:rPr>
      </w:pPr>
    </w:p>
    <w:p w:rsidR="007D4A93" w:rsidRPr="00654E3B" w:rsidRDefault="00EF0BEB">
      <w:pPr>
        <w:rPr>
          <w:rFonts w:cs="Times New Roman"/>
          <w:sz w:val="24"/>
          <w:szCs w:val="24"/>
        </w:rPr>
      </w:pPr>
      <w:r w:rsidRPr="00654E3B">
        <w:rPr>
          <w:rFonts w:cs="Times New Roman"/>
          <w:sz w:val="24"/>
          <w:szCs w:val="24"/>
        </w:rPr>
        <w:t xml:space="preserve">Europska komisija je krajem 2019. godine predstavila Europski zeleni plan </w:t>
      </w:r>
      <w:r w:rsidR="00225860" w:rsidRPr="00654E3B">
        <w:rPr>
          <w:rFonts w:cs="Times New Roman"/>
          <w:sz w:val="24"/>
          <w:szCs w:val="24"/>
        </w:rPr>
        <w:t>kojim je predstavljena</w:t>
      </w:r>
      <w:r w:rsidR="00BE6D78" w:rsidRPr="00654E3B">
        <w:rPr>
          <w:rFonts w:cs="Times New Roman"/>
          <w:sz w:val="24"/>
          <w:szCs w:val="24"/>
        </w:rPr>
        <w:t xml:space="preserve">  klimatsk</w:t>
      </w:r>
      <w:r w:rsidR="00225860" w:rsidRPr="00654E3B">
        <w:rPr>
          <w:rFonts w:cs="Times New Roman"/>
          <w:sz w:val="24"/>
          <w:szCs w:val="24"/>
        </w:rPr>
        <w:t>a</w:t>
      </w:r>
      <w:r w:rsidR="00BE6D78" w:rsidRPr="00654E3B">
        <w:rPr>
          <w:rFonts w:cs="Times New Roman"/>
          <w:sz w:val="24"/>
          <w:szCs w:val="24"/>
        </w:rPr>
        <w:t xml:space="preserve"> ambicij</w:t>
      </w:r>
      <w:r w:rsidR="00225860" w:rsidRPr="00654E3B">
        <w:rPr>
          <w:rFonts w:cs="Times New Roman"/>
          <w:sz w:val="24"/>
          <w:szCs w:val="24"/>
        </w:rPr>
        <w:t>a</w:t>
      </w:r>
      <w:r w:rsidR="00BE6D78" w:rsidRPr="00654E3B">
        <w:rPr>
          <w:rFonts w:cs="Times New Roman"/>
          <w:sz w:val="24"/>
          <w:szCs w:val="24"/>
        </w:rPr>
        <w:t xml:space="preserve"> o postizanju klimatske neutralnosti EU-a do 2050. godine. U prosincu 2020. godine Europsko vijeće usvojilo je </w:t>
      </w:r>
      <w:r w:rsidRPr="00654E3B">
        <w:rPr>
          <w:rFonts w:cs="Times New Roman"/>
          <w:sz w:val="24"/>
          <w:szCs w:val="24"/>
        </w:rPr>
        <w:t>povećanje cilja smanjenja emisija stakleničkih plinova na razini EU-a do 2030. godine na -55</w:t>
      </w:r>
      <w:r w:rsidR="00060992" w:rsidRPr="00654E3B">
        <w:rPr>
          <w:rFonts w:cs="Times New Roman"/>
          <w:sz w:val="24"/>
          <w:szCs w:val="24"/>
        </w:rPr>
        <w:t xml:space="preserve"> %</w:t>
      </w:r>
      <w:r w:rsidRPr="00654E3B">
        <w:rPr>
          <w:rFonts w:cs="Times New Roman"/>
          <w:sz w:val="24"/>
          <w:szCs w:val="24"/>
        </w:rPr>
        <w:t xml:space="preserve"> u odnosu na razine iz 1990. godine. Ovime </w:t>
      </w:r>
      <w:r w:rsidR="00BE6D78" w:rsidRPr="00654E3B">
        <w:rPr>
          <w:rFonts w:cs="Times New Roman"/>
          <w:sz w:val="24"/>
          <w:szCs w:val="24"/>
        </w:rPr>
        <w:t xml:space="preserve">EU </w:t>
      </w:r>
      <w:r w:rsidR="00225860" w:rsidRPr="00654E3B">
        <w:rPr>
          <w:rFonts w:cs="Times New Roman"/>
          <w:sz w:val="24"/>
          <w:szCs w:val="24"/>
        </w:rPr>
        <w:t xml:space="preserve">želi </w:t>
      </w:r>
      <w:r w:rsidR="00BE6D78" w:rsidRPr="00654E3B">
        <w:rPr>
          <w:rFonts w:cs="Times New Roman"/>
          <w:sz w:val="24"/>
          <w:szCs w:val="24"/>
        </w:rPr>
        <w:t>zadrža</w:t>
      </w:r>
      <w:r w:rsidR="00225860" w:rsidRPr="00654E3B">
        <w:rPr>
          <w:rFonts w:cs="Times New Roman"/>
          <w:sz w:val="24"/>
          <w:szCs w:val="24"/>
        </w:rPr>
        <w:t>ti</w:t>
      </w:r>
      <w:r w:rsidR="00BE6D78" w:rsidRPr="00654E3B">
        <w:rPr>
          <w:rFonts w:cs="Times New Roman"/>
          <w:sz w:val="24"/>
          <w:szCs w:val="24"/>
        </w:rPr>
        <w:t xml:space="preserve"> vodeću ulogu u</w:t>
      </w:r>
      <w:r w:rsidRPr="00654E3B">
        <w:rPr>
          <w:rFonts w:cs="Times New Roman"/>
          <w:sz w:val="24"/>
          <w:szCs w:val="24"/>
        </w:rPr>
        <w:t xml:space="preserve"> provedbi međunarodnih klimatskih sporazuma, Pariškog sporazuma i UNFCCC-a.</w:t>
      </w:r>
    </w:p>
    <w:p w:rsidR="007D4A93" w:rsidRPr="00654E3B" w:rsidRDefault="00EF0BEB">
      <w:pPr>
        <w:rPr>
          <w:rFonts w:cs="Times New Roman"/>
          <w:sz w:val="24"/>
          <w:szCs w:val="24"/>
        </w:rPr>
      </w:pPr>
      <w:r w:rsidRPr="00654E3B">
        <w:rPr>
          <w:rFonts w:cs="Times New Roman"/>
          <w:sz w:val="24"/>
          <w:szCs w:val="24"/>
        </w:rPr>
        <w:t xml:space="preserve">U 2020. godini započet je rad na tzv. Zakonu o klimi </w:t>
      </w:r>
      <w:r w:rsidR="00225860" w:rsidRPr="00654E3B">
        <w:rPr>
          <w:rFonts w:cs="Times New Roman"/>
          <w:sz w:val="24"/>
          <w:szCs w:val="24"/>
        </w:rPr>
        <w:t xml:space="preserve">EU-a, </w:t>
      </w:r>
      <w:r w:rsidRPr="00654E3B">
        <w:rPr>
          <w:rFonts w:cs="Times New Roman"/>
          <w:sz w:val="24"/>
          <w:szCs w:val="24"/>
        </w:rPr>
        <w:t>koji će naveden</w:t>
      </w:r>
      <w:r w:rsidR="00225860" w:rsidRPr="00654E3B">
        <w:rPr>
          <w:rFonts w:cs="Times New Roman"/>
          <w:sz w:val="24"/>
          <w:szCs w:val="24"/>
        </w:rPr>
        <w:t>i</w:t>
      </w:r>
      <w:r w:rsidRPr="00654E3B">
        <w:rPr>
          <w:rFonts w:cs="Times New Roman"/>
          <w:sz w:val="24"/>
          <w:szCs w:val="24"/>
        </w:rPr>
        <w:t xml:space="preserve"> cilj integrirati. </w:t>
      </w:r>
      <w:r w:rsidR="00225860" w:rsidRPr="00654E3B">
        <w:rPr>
          <w:rFonts w:cs="Times New Roman"/>
          <w:sz w:val="24"/>
          <w:szCs w:val="24"/>
        </w:rPr>
        <w:t xml:space="preserve">U svrhu </w:t>
      </w:r>
      <w:r w:rsidRPr="00654E3B">
        <w:rPr>
          <w:rFonts w:cs="Times New Roman"/>
          <w:sz w:val="24"/>
          <w:szCs w:val="24"/>
        </w:rPr>
        <w:t>provedb</w:t>
      </w:r>
      <w:r w:rsidR="00225860" w:rsidRPr="00654E3B">
        <w:rPr>
          <w:rFonts w:cs="Times New Roman"/>
          <w:sz w:val="24"/>
          <w:szCs w:val="24"/>
        </w:rPr>
        <w:t>e</w:t>
      </w:r>
      <w:r w:rsidRPr="00654E3B">
        <w:rPr>
          <w:rFonts w:cs="Times New Roman"/>
          <w:sz w:val="24"/>
          <w:szCs w:val="24"/>
        </w:rPr>
        <w:t xml:space="preserve"> </w:t>
      </w:r>
      <w:r w:rsidR="00225860" w:rsidRPr="00654E3B">
        <w:rPr>
          <w:rFonts w:cs="Times New Roman"/>
          <w:sz w:val="24"/>
          <w:szCs w:val="24"/>
        </w:rPr>
        <w:t>tog</w:t>
      </w:r>
      <w:r w:rsidRPr="00654E3B">
        <w:rPr>
          <w:rFonts w:cs="Times New Roman"/>
          <w:sz w:val="24"/>
          <w:szCs w:val="24"/>
        </w:rPr>
        <w:t xml:space="preserve"> cilja EK će </w:t>
      </w:r>
      <w:r w:rsidR="00225860" w:rsidRPr="00654E3B">
        <w:rPr>
          <w:rFonts w:cs="Times New Roman"/>
          <w:sz w:val="24"/>
          <w:szCs w:val="24"/>
        </w:rPr>
        <w:t xml:space="preserve">do lipnja 2021. godine </w:t>
      </w:r>
      <w:r w:rsidRPr="00654E3B">
        <w:rPr>
          <w:rFonts w:cs="Times New Roman"/>
          <w:sz w:val="24"/>
          <w:szCs w:val="24"/>
        </w:rPr>
        <w:t>predstaviti prijedloge izmjena zakonodavstva EU</w:t>
      </w:r>
      <w:r w:rsidR="00225860" w:rsidRPr="00654E3B">
        <w:rPr>
          <w:rFonts w:cs="Times New Roman"/>
          <w:sz w:val="24"/>
          <w:szCs w:val="24"/>
        </w:rPr>
        <w:t>-a</w:t>
      </w:r>
      <w:r w:rsidRPr="00654E3B">
        <w:rPr>
          <w:rFonts w:cs="Times New Roman"/>
          <w:sz w:val="24"/>
          <w:szCs w:val="24"/>
        </w:rPr>
        <w:t xml:space="preserve"> iz područja klimatskih promjena te propisa koji </w:t>
      </w:r>
      <w:r w:rsidR="00225860" w:rsidRPr="00654E3B">
        <w:rPr>
          <w:rFonts w:cs="Times New Roman"/>
          <w:sz w:val="24"/>
          <w:szCs w:val="24"/>
        </w:rPr>
        <w:t xml:space="preserve">će </w:t>
      </w:r>
      <w:r w:rsidRPr="00654E3B">
        <w:rPr>
          <w:rFonts w:cs="Times New Roman"/>
          <w:sz w:val="24"/>
          <w:szCs w:val="24"/>
        </w:rPr>
        <w:t>regulira</w:t>
      </w:r>
      <w:r w:rsidR="00225860" w:rsidRPr="00654E3B">
        <w:rPr>
          <w:rFonts w:cs="Times New Roman"/>
          <w:sz w:val="24"/>
          <w:szCs w:val="24"/>
        </w:rPr>
        <w:t>ti</w:t>
      </w:r>
      <w:r w:rsidRPr="00654E3B">
        <w:rPr>
          <w:rFonts w:cs="Times New Roman"/>
          <w:sz w:val="24"/>
          <w:szCs w:val="24"/>
        </w:rPr>
        <w:t xml:space="preserve"> ciljeve smanjenja </w:t>
      </w:r>
      <w:r w:rsidR="00225860" w:rsidRPr="00654E3B">
        <w:rPr>
          <w:rFonts w:cs="Times New Roman"/>
          <w:sz w:val="24"/>
          <w:szCs w:val="24"/>
        </w:rPr>
        <w:t>za</w:t>
      </w:r>
      <w:r w:rsidRPr="00654E3B">
        <w:rPr>
          <w:rFonts w:cs="Times New Roman"/>
          <w:sz w:val="24"/>
          <w:szCs w:val="24"/>
        </w:rPr>
        <w:t xml:space="preserve"> pojedin</w:t>
      </w:r>
      <w:r w:rsidR="00225860" w:rsidRPr="00654E3B">
        <w:rPr>
          <w:rFonts w:cs="Times New Roman"/>
          <w:sz w:val="24"/>
          <w:szCs w:val="24"/>
        </w:rPr>
        <w:t>e</w:t>
      </w:r>
      <w:r w:rsidRPr="00654E3B">
        <w:rPr>
          <w:rFonts w:cs="Times New Roman"/>
          <w:sz w:val="24"/>
          <w:szCs w:val="24"/>
        </w:rPr>
        <w:t xml:space="preserve"> sektor</w:t>
      </w:r>
      <w:r w:rsidR="00225860" w:rsidRPr="00654E3B">
        <w:rPr>
          <w:rFonts w:cs="Times New Roman"/>
          <w:sz w:val="24"/>
          <w:szCs w:val="24"/>
        </w:rPr>
        <w:t>e</w:t>
      </w:r>
      <w:r w:rsidRPr="00654E3B">
        <w:rPr>
          <w:rFonts w:cs="Times New Roman"/>
          <w:sz w:val="24"/>
          <w:szCs w:val="24"/>
        </w:rPr>
        <w:t xml:space="preserve"> </w:t>
      </w:r>
      <w:r w:rsidR="00225860" w:rsidRPr="00654E3B">
        <w:rPr>
          <w:rFonts w:cs="Times New Roman"/>
          <w:sz w:val="24"/>
          <w:szCs w:val="24"/>
        </w:rPr>
        <w:t>država članica.</w:t>
      </w:r>
    </w:p>
    <w:p w:rsidR="007D4A93" w:rsidRPr="00654E3B" w:rsidRDefault="00EF0BEB">
      <w:pPr>
        <w:rPr>
          <w:rFonts w:cs="Times New Roman"/>
          <w:sz w:val="24"/>
          <w:szCs w:val="24"/>
        </w:rPr>
      </w:pPr>
      <w:r w:rsidRPr="00654E3B">
        <w:rPr>
          <w:rFonts w:cs="Times New Roman"/>
          <w:sz w:val="24"/>
          <w:szCs w:val="24"/>
        </w:rPr>
        <w:t xml:space="preserve">Obveze za Republiku Hrvatsku do 2030. godine znat će se tek nakon definiranja svih sektorskih ciljeva kojima će se osigurati dostizanje </w:t>
      </w:r>
      <w:r w:rsidR="00225860" w:rsidRPr="00654E3B">
        <w:rPr>
          <w:rFonts w:cs="Times New Roman"/>
          <w:sz w:val="24"/>
          <w:szCs w:val="24"/>
        </w:rPr>
        <w:t xml:space="preserve">zajedničkog </w:t>
      </w:r>
      <w:r w:rsidRPr="00654E3B">
        <w:rPr>
          <w:rFonts w:cs="Times New Roman"/>
          <w:sz w:val="24"/>
          <w:szCs w:val="24"/>
        </w:rPr>
        <w:t>cilja smanjenja emisija EU</w:t>
      </w:r>
      <w:r w:rsidR="00225860" w:rsidRPr="00654E3B">
        <w:rPr>
          <w:rFonts w:cs="Times New Roman"/>
          <w:sz w:val="24"/>
          <w:szCs w:val="24"/>
        </w:rPr>
        <w:t>-a</w:t>
      </w:r>
      <w:r w:rsidRPr="00654E3B">
        <w:rPr>
          <w:rFonts w:cs="Times New Roman"/>
          <w:sz w:val="24"/>
          <w:szCs w:val="24"/>
        </w:rPr>
        <w:t xml:space="preserve"> </w:t>
      </w:r>
      <w:r w:rsidR="00225860" w:rsidRPr="00654E3B">
        <w:rPr>
          <w:rFonts w:cs="Times New Roman"/>
          <w:sz w:val="24"/>
          <w:szCs w:val="24"/>
        </w:rPr>
        <w:t xml:space="preserve">a </w:t>
      </w:r>
      <w:r w:rsidR="00010D43" w:rsidRPr="00654E3B">
        <w:rPr>
          <w:rFonts w:cs="Times New Roman"/>
          <w:sz w:val="24"/>
          <w:szCs w:val="24"/>
        </w:rPr>
        <w:t xml:space="preserve">što </w:t>
      </w:r>
      <w:r w:rsidRPr="00654E3B">
        <w:rPr>
          <w:rFonts w:cs="Times New Roman"/>
          <w:sz w:val="24"/>
          <w:szCs w:val="24"/>
        </w:rPr>
        <w:t xml:space="preserve"> će biti usklađen</w:t>
      </w:r>
      <w:r w:rsidR="00010D43" w:rsidRPr="00654E3B">
        <w:rPr>
          <w:rFonts w:cs="Times New Roman"/>
          <w:sz w:val="24"/>
          <w:szCs w:val="24"/>
        </w:rPr>
        <w:t>o</w:t>
      </w:r>
      <w:r w:rsidRPr="00654E3B">
        <w:rPr>
          <w:rFonts w:cs="Times New Roman"/>
          <w:sz w:val="24"/>
          <w:szCs w:val="24"/>
        </w:rPr>
        <w:t xml:space="preserve"> i praćen</w:t>
      </w:r>
      <w:r w:rsidR="00010D43" w:rsidRPr="00654E3B">
        <w:rPr>
          <w:rFonts w:cs="Times New Roman"/>
          <w:sz w:val="24"/>
          <w:szCs w:val="24"/>
        </w:rPr>
        <w:t>o</w:t>
      </w:r>
      <w:r w:rsidRPr="00654E3B">
        <w:rPr>
          <w:rFonts w:cs="Times New Roman"/>
          <w:sz w:val="24"/>
          <w:szCs w:val="24"/>
        </w:rPr>
        <w:t xml:space="preserve"> izmjenama cjelokupnog sektorskog zakonodavstva EU-a. Također se 2023. godine očekuje obveza revizije Integralnih energetskih i klimatskih planova, sukladno novoj raspodjeli napora smanjenja emisija na države članice i novih sektorskih ciljeva. </w:t>
      </w:r>
    </w:p>
    <w:p w:rsidR="00C05AE6" w:rsidRPr="00654E3B" w:rsidRDefault="00C05AE6" w:rsidP="00C05AE6">
      <w:pPr>
        <w:rPr>
          <w:rFonts w:cs="Times New Roman"/>
          <w:sz w:val="24"/>
          <w:szCs w:val="24"/>
        </w:rPr>
      </w:pPr>
      <w:r w:rsidRPr="00654E3B">
        <w:rPr>
          <w:rFonts w:cs="Times New Roman"/>
          <w:sz w:val="24"/>
          <w:szCs w:val="24"/>
        </w:rPr>
        <w:t>Republika Hrvatska podržava smjer klimatske politike EU</w:t>
      </w:r>
      <w:r w:rsidR="003B4BD7" w:rsidRPr="00654E3B">
        <w:rPr>
          <w:rFonts w:cs="Times New Roman"/>
          <w:sz w:val="24"/>
          <w:szCs w:val="24"/>
        </w:rPr>
        <w:t>-a</w:t>
      </w:r>
      <w:r w:rsidRPr="00654E3B">
        <w:rPr>
          <w:rFonts w:cs="Times New Roman"/>
          <w:sz w:val="24"/>
          <w:szCs w:val="24"/>
        </w:rPr>
        <w:t xml:space="preserve"> te je pokrenula postupak izrade scenarij</w:t>
      </w:r>
      <w:r w:rsidR="003B4BD7" w:rsidRPr="00654E3B">
        <w:rPr>
          <w:rFonts w:cs="Times New Roman"/>
          <w:sz w:val="24"/>
          <w:szCs w:val="24"/>
        </w:rPr>
        <w:t>a</w:t>
      </w:r>
      <w:r w:rsidRPr="00654E3B">
        <w:rPr>
          <w:rFonts w:cs="Times New Roman"/>
          <w:sz w:val="24"/>
          <w:szCs w:val="24"/>
        </w:rPr>
        <w:t xml:space="preserve"> za postizanje većih smanjenja emisija do 2030. godine (udio Hrvatske u zajedničkom EU cilju od -55</w:t>
      </w:r>
      <w:r w:rsidR="00060992" w:rsidRPr="00654E3B">
        <w:rPr>
          <w:rFonts w:cs="Times New Roman"/>
          <w:sz w:val="24"/>
          <w:szCs w:val="24"/>
        </w:rPr>
        <w:t xml:space="preserve"> %</w:t>
      </w:r>
      <w:r w:rsidRPr="00654E3B">
        <w:rPr>
          <w:rFonts w:cs="Times New Roman"/>
          <w:sz w:val="24"/>
          <w:szCs w:val="24"/>
        </w:rPr>
        <w:t>) i klimatske neutralnosti u Hrvatskoj do 2050. Obzirom na kompleksnost problematike potrebne su široke konzultacije u društvu sa svim sektorima i dionicima o postizanju ovog zajedničkog EU cilja.</w:t>
      </w:r>
    </w:p>
    <w:p w:rsidR="007D4A93" w:rsidRPr="00654E3B" w:rsidRDefault="00EF0BEB">
      <w:pPr>
        <w:rPr>
          <w:rFonts w:cs="Times New Roman"/>
          <w:sz w:val="24"/>
          <w:szCs w:val="24"/>
        </w:rPr>
      </w:pPr>
      <w:r w:rsidRPr="00654E3B">
        <w:rPr>
          <w:rFonts w:cs="Times New Roman"/>
          <w:sz w:val="24"/>
          <w:szCs w:val="24"/>
        </w:rPr>
        <w:t>Scenariji postizanja većih smanjenja emisija do 2030. godine za Republiku Hrvatsku izrađeni su uzimajući u obzir dosadašnji način raspodjele napora na države članice, na način da države s manjim BDP-</w:t>
      </w:r>
      <w:r w:rsidR="003B4BD7" w:rsidRPr="00654E3B">
        <w:rPr>
          <w:rFonts w:cs="Times New Roman"/>
          <w:sz w:val="24"/>
          <w:szCs w:val="24"/>
        </w:rPr>
        <w:t>o</w:t>
      </w:r>
      <w:r w:rsidRPr="00654E3B">
        <w:rPr>
          <w:rFonts w:cs="Times New Roman"/>
          <w:sz w:val="24"/>
          <w:szCs w:val="24"/>
        </w:rPr>
        <w:t>m imaju niže ciljeve od država koje imaju veći BDP. To znači da EU ima zajednički cilj -55</w:t>
      </w:r>
      <w:r w:rsidR="00060992" w:rsidRPr="00654E3B">
        <w:rPr>
          <w:rFonts w:cs="Times New Roman"/>
          <w:sz w:val="24"/>
          <w:szCs w:val="24"/>
        </w:rPr>
        <w:t xml:space="preserve"> %</w:t>
      </w:r>
      <w:r w:rsidRPr="00654E3B">
        <w:rPr>
          <w:rFonts w:cs="Times New Roman"/>
          <w:sz w:val="24"/>
          <w:szCs w:val="24"/>
        </w:rPr>
        <w:t>, dok će zbog solidarnosti države s manjim BDP-em imati i niže ciljeve.</w:t>
      </w:r>
    </w:p>
    <w:p w:rsidR="007D4A93" w:rsidRPr="00654E3B" w:rsidRDefault="00C05AE6">
      <w:pPr>
        <w:rPr>
          <w:rFonts w:cs="Times New Roman"/>
          <w:sz w:val="24"/>
          <w:szCs w:val="24"/>
        </w:rPr>
      </w:pPr>
      <w:r w:rsidRPr="00654E3B">
        <w:rPr>
          <w:rFonts w:cs="Times New Roman"/>
          <w:sz w:val="24"/>
          <w:szCs w:val="24"/>
        </w:rPr>
        <w:t xml:space="preserve">Preliminarne analize izrađenih </w:t>
      </w:r>
      <w:r w:rsidR="00EF0BEB" w:rsidRPr="00654E3B">
        <w:rPr>
          <w:rFonts w:cs="Times New Roman"/>
          <w:sz w:val="24"/>
          <w:szCs w:val="24"/>
        </w:rPr>
        <w:t>scenarija pokazuju da Republika Hrvatska do 2030. godine može smanjiti emisije za 44,8</w:t>
      </w:r>
      <w:r w:rsidR="00060992" w:rsidRPr="00654E3B">
        <w:rPr>
          <w:rFonts w:cs="Times New Roman"/>
          <w:sz w:val="24"/>
          <w:szCs w:val="24"/>
        </w:rPr>
        <w:t xml:space="preserve"> %</w:t>
      </w:r>
      <w:r w:rsidR="00EF0BEB" w:rsidRPr="00654E3B">
        <w:rPr>
          <w:rFonts w:cs="Times New Roman"/>
          <w:sz w:val="24"/>
          <w:szCs w:val="24"/>
        </w:rPr>
        <w:t xml:space="preserve"> dok do 2050. godine mjerama smanjenja emisija u svim sektorima može postići smanjenje od 89,4</w:t>
      </w:r>
      <w:r w:rsidR="00060992" w:rsidRPr="00654E3B">
        <w:rPr>
          <w:rFonts w:cs="Times New Roman"/>
          <w:sz w:val="24"/>
          <w:szCs w:val="24"/>
        </w:rPr>
        <w:t xml:space="preserve"> %</w:t>
      </w:r>
      <w:r w:rsidR="00EF0BEB" w:rsidRPr="00654E3B">
        <w:rPr>
          <w:rFonts w:cs="Times New Roman"/>
          <w:sz w:val="24"/>
          <w:szCs w:val="24"/>
        </w:rPr>
        <w:t>. Preostali dio emisija od 10,6</w:t>
      </w:r>
      <w:r w:rsidR="00060992" w:rsidRPr="00654E3B">
        <w:rPr>
          <w:rFonts w:cs="Times New Roman"/>
          <w:sz w:val="24"/>
          <w:szCs w:val="24"/>
        </w:rPr>
        <w:t xml:space="preserve"> %</w:t>
      </w:r>
      <w:r w:rsidR="00EF0BEB" w:rsidRPr="00654E3B">
        <w:rPr>
          <w:rFonts w:cs="Times New Roman"/>
          <w:sz w:val="24"/>
          <w:szCs w:val="24"/>
        </w:rPr>
        <w:t xml:space="preserve"> do postizanja klimatske neutralnosti koji se neće moći smanjiti u pojedinim sektorima, ostvarit će se mjerama povećanja ponora (pošumljavanje, smanjenje izvoza drvne mase, smanjenje korištenje biomase za energetske svrhe, povećanjem proizvodnje namještaja i drugih drvnih proizvoda, agrošumarstvo) te tehnološkim mjerama hvatanja, korištenja odnosno skladištenja ugljika.</w:t>
      </w:r>
    </w:p>
    <w:p w:rsidR="00C05AE6" w:rsidRPr="00654E3B" w:rsidRDefault="00C05AE6" w:rsidP="00C05AE6">
      <w:pPr>
        <w:rPr>
          <w:rFonts w:cs="Times New Roman"/>
          <w:sz w:val="24"/>
          <w:szCs w:val="24"/>
        </w:rPr>
      </w:pPr>
      <w:r w:rsidRPr="00654E3B">
        <w:rPr>
          <w:rFonts w:cs="Times New Roman"/>
          <w:sz w:val="24"/>
          <w:szCs w:val="24"/>
        </w:rPr>
        <w:t>Te analize pokazuju da su pored velike reforme društva, potrebna značajna javna i privatna financijska sredstava. Primjerice samo za energetski sektor će do 2030. godine u scenariju postojećih mjera biti potrebno 103,5 mlrd. kuna dok će za scenarij klimatske neutralnosti biti potrebna ukupna ulaganja od 252,9 mlrd. kuna, odnosno dodatna ulaganja od 149,4 mlrd. kuna. Dodatna ulaganja u sektorima izvan energetike procijenjena su na 4,74 mlrd. kuna. Ukupna dodatna ulaganja u svim sektorima za postizanje ciljeva do 2030. godine, a s ciljem postizanja klimatske neutralnosti u 2050. godini procjenjuju se na 154,14 mlrd. kuna.</w:t>
      </w:r>
    </w:p>
    <w:p w:rsidR="007D4A93" w:rsidRPr="00654E3B" w:rsidRDefault="00EF0BEB">
      <w:pPr>
        <w:rPr>
          <w:rFonts w:cs="Times New Roman"/>
          <w:sz w:val="24"/>
          <w:szCs w:val="24"/>
        </w:rPr>
      </w:pPr>
      <w:r w:rsidRPr="00654E3B">
        <w:rPr>
          <w:rFonts w:cs="Times New Roman"/>
          <w:sz w:val="24"/>
          <w:szCs w:val="24"/>
        </w:rPr>
        <w:t>Republika Hrvatska će imati na raspolaganju značajna financijska sredstva međutim, potrebe za ulaganjem znatno nadilaze raspoloživa sredstva. Stoga će biti nužna međuresorna koordinacija te korištenje inovativnih financijskih instrumenata kako bi se s ograničenim financijskim sredstvima, koja su nam na raspolaganju</w:t>
      </w:r>
      <w:r w:rsidR="00CD0745" w:rsidRPr="00654E3B">
        <w:rPr>
          <w:rFonts w:cs="Times New Roman"/>
          <w:sz w:val="24"/>
          <w:szCs w:val="24"/>
        </w:rPr>
        <w:t>, privukla i privatna ulaganja te</w:t>
      </w:r>
      <w:r w:rsidRPr="00654E3B">
        <w:rPr>
          <w:rFonts w:cs="Times New Roman"/>
          <w:sz w:val="24"/>
          <w:szCs w:val="24"/>
        </w:rPr>
        <w:t xml:space="preserve"> postigao što veći, multiplikativni učinak u pogledu smanjenja emisija, obzirom da će svi sektori morati </w:t>
      </w:r>
      <w:r w:rsidRPr="00654E3B">
        <w:rPr>
          <w:rFonts w:cs="Times New Roman"/>
          <w:sz w:val="24"/>
          <w:szCs w:val="24"/>
        </w:rPr>
        <w:lastRenderedPageBreak/>
        <w:t>pridonijeti smanjivanju emisija kako bi Republika Hrvatska ispunila svoj udio smanjenja u EU cilju od -55</w:t>
      </w:r>
      <w:r w:rsidR="00060992" w:rsidRPr="00654E3B">
        <w:rPr>
          <w:rFonts w:cs="Times New Roman"/>
          <w:sz w:val="24"/>
          <w:szCs w:val="24"/>
        </w:rPr>
        <w:t xml:space="preserve"> %</w:t>
      </w:r>
      <w:r w:rsidRPr="00654E3B">
        <w:rPr>
          <w:rFonts w:cs="Times New Roman"/>
          <w:sz w:val="24"/>
          <w:szCs w:val="24"/>
        </w:rPr>
        <w:t xml:space="preserve"> do 2030. godine. </w:t>
      </w:r>
    </w:p>
    <w:p w:rsidR="007D4A93" w:rsidRPr="00654E3B" w:rsidRDefault="00EF0BEB">
      <w:pPr>
        <w:rPr>
          <w:rFonts w:cs="Times New Roman"/>
          <w:sz w:val="24"/>
          <w:szCs w:val="24"/>
        </w:rPr>
      </w:pPr>
      <w:r w:rsidRPr="00654E3B">
        <w:rPr>
          <w:rFonts w:cs="Times New Roman"/>
          <w:sz w:val="24"/>
          <w:szCs w:val="24"/>
        </w:rPr>
        <w:t xml:space="preserve">Podržavajući smjer klimatske politike EU, pri izradi petogodišnjeg Akcijskog plana za provedbu Niskougljične strategije uzet će se u obzir mjere za postizanje većih smanjenja emisija do 2030. godine. </w:t>
      </w:r>
    </w:p>
    <w:p w:rsidR="007D4A93" w:rsidRPr="00654E3B" w:rsidRDefault="00EF0BEB">
      <w:pPr>
        <w:rPr>
          <w:rFonts w:cs="Times New Roman"/>
        </w:rPr>
      </w:pPr>
      <w:r w:rsidRPr="00654E3B">
        <w:rPr>
          <w:rFonts w:cs="Times New Roman"/>
        </w:rPr>
        <w:br w:type="page"/>
      </w:r>
    </w:p>
    <w:p w:rsidR="007D4A93" w:rsidRPr="00654E3B" w:rsidRDefault="00EF0BEB">
      <w:pPr>
        <w:pStyle w:val="Heading1"/>
        <w:rPr>
          <w:rFonts w:ascii="Times New Roman" w:hAnsi="Times New Roman" w:cs="Times New Roman"/>
        </w:rPr>
      </w:pPr>
      <w:bookmarkStart w:id="343" w:name="_Toc69810217"/>
      <w:r w:rsidRPr="00654E3B">
        <w:rPr>
          <w:rFonts w:ascii="Times New Roman" w:hAnsi="Times New Roman" w:cs="Times New Roman"/>
        </w:rPr>
        <w:lastRenderedPageBreak/>
        <w:t>PRILOG I. - OPIS REFERENTNOG SCENARIJA (NUR)</w:t>
      </w:r>
      <w:bookmarkEnd w:id="343"/>
    </w:p>
    <w:p w:rsidR="007D4A93" w:rsidRPr="00654E3B" w:rsidRDefault="007D4A93">
      <w:pPr>
        <w:rPr>
          <w:rFonts w:cs="Times New Roman"/>
        </w:rPr>
      </w:pPr>
    </w:p>
    <w:p w:rsidR="007D4A93" w:rsidRPr="00654E3B" w:rsidRDefault="00EF0BEB">
      <w:pPr>
        <w:pStyle w:val="Heading2"/>
        <w:rPr>
          <w:rFonts w:ascii="Times New Roman" w:hAnsi="Times New Roman" w:cs="Times New Roman"/>
        </w:rPr>
      </w:pPr>
      <w:bookmarkStart w:id="344" w:name="_Toc436823716"/>
      <w:bookmarkStart w:id="345" w:name="_Toc434968018"/>
      <w:bookmarkStart w:id="346" w:name="_Toc69810218"/>
      <w:bookmarkStart w:id="347" w:name="_Toc20841328"/>
      <w:bookmarkStart w:id="348" w:name="_Toc20841434"/>
      <w:r w:rsidRPr="00654E3B">
        <w:rPr>
          <w:rFonts w:ascii="Times New Roman" w:hAnsi="Times New Roman" w:cs="Times New Roman"/>
        </w:rPr>
        <w:t xml:space="preserve">I.1. </w:t>
      </w:r>
      <w:r w:rsidRPr="00654E3B">
        <w:rPr>
          <w:rFonts w:ascii="Times New Roman" w:hAnsi="Times New Roman" w:cs="Times New Roman"/>
        </w:rPr>
        <w:tab/>
      </w:r>
      <w:bookmarkStart w:id="349" w:name="_Hlk43970318"/>
      <w:r w:rsidRPr="00654E3B">
        <w:rPr>
          <w:rFonts w:ascii="Times New Roman" w:hAnsi="Times New Roman" w:cs="Times New Roman"/>
        </w:rPr>
        <w:t>PROIZVODNJA, POTROŠNJA, UVOZ I IZVOZ ENERGIJE</w:t>
      </w:r>
      <w:bookmarkEnd w:id="344"/>
      <w:bookmarkEnd w:id="345"/>
      <w:bookmarkEnd w:id="346"/>
      <w:bookmarkEnd w:id="349"/>
    </w:p>
    <w:p w:rsidR="007D4A93" w:rsidRPr="00654E3B" w:rsidRDefault="007D4A93">
      <w:pPr>
        <w:rPr>
          <w:rFonts w:cs="Times New Roman"/>
        </w:rPr>
      </w:pPr>
    </w:p>
    <w:p w:rsidR="007D4A93" w:rsidRPr="00654E3B" w:rsidRDefault="00EF0BEB">
      <w:pPr>
        <w:rPr>
          <w:rFonts w:cs="Times New Roman"/>
          <w:u w:val="single"/>
        </w:rPr>
      </w:pPr>
      <w:r w:rsidRPr="00654E3B">
        <w:rPr>
          <w:rFonts w:cs="Times New Roman"/>
          <w:u w:val="single"/>
        </w:rPr>
        <w:t>Neposredna potrošnja energije</w:t>
      </w:r>
    </w:p>
    <w:p w:rsidR="007D4A93" w:rsidRPr="00654E3B" w:rsidRDefault="00EF0BEB">
      <w:pPr>
        <w:rPr>
          <w:rFonts w:cs="Times New Roman"/>
        </w:rPr>
      </w:pPr>
      <w:r w:rsidRPr="00654E3B">
        <w:rPr>
          <w:rFonts w:cs="Times New Roman"/>
        </w:rPr>
        <w:t>U Referentnom scenariju (NUR), neposredna potrošnja energije do 2030. godine raste za ukupno 5</w:t>
      </w:r>
      <w:r w:rsidR="00060992" w:rsidRPr="00654E3B">
        <w:rPr>
          <w:rFonts w:cs="Times New Roman"/>
        </w:rPr>
        <w:t xml:space="preserve"> %</w:t>
      </w:r>
      <w:r w:rsidRPr="00654E3B">
        <w:rPr>
          <w:rFonts w:cs="Times New Roman"/>
        </w:rPr>
        <w:t>, a zatim se smanjuje za 10</w:t>
      </w:r>
      <w:r w:rsidR="00060992" w:rsidRPr="00654E3B">
        <w:rPr>
          <w:rFonts w:cs="Times New Roman"/>
        </w:rPr>
        <w:t xml:space="preserve"> %</w:t>
      </w:r>
      <w:r w:rsidRPr="00654E3B">
        <w:rPr>
          <w:rFonts w:cs="Times New Roman"/>
        </w:rPr>
        <w:t xml:space="preserve"> do 2050. godine, promatrano u odnosu na razinu neposredne potrošnje energije u 2018. godini.</w:t>
      </w:r>
    </w:p>
    <w:p w:rsidR="007D4A93" w:rsidRPr="00654E3B" w:rsidRDefault="00EF0BEB">
      <w:pPr>
        <w:rPr>
          <w:rFonts w:cs="Times New Roman"/>
        </w:rPr>
      </w:pPr>
      <w:r w:rsidRPr="00654E3B">
        <w:rPr>
          <w:rFonts w:cs="Times New Roman"/>
        </w:rPr>
        <w:t>Mijenja se struktura utrošenih oblika energije. Očekuje se porast udjela električne energije, prirodnog plina i vodika, a smanjuje se udio krutih i tekućih fosilnih goriva. Ukupni udio fosilnih goriva opada na 54,0</w:t>
      </w:r>
      <w:r w:rsidR="00060992" w:rsidRPr="00654E3B">
        <w:rPr>
          <w:rFonts w:cs="Times New Roman"/>
        </w:rPr>
        <w:t xml:space="preserve"> %</w:t>
      </w:r>
      <w:r w:rsidRPr="00654E3B">
        <w:rPr>
          <w:rFonts w:cs="Times New Roman"/>
        </w:rPr>
        <w:t xml:space="preserve"> u 2030. godini i na 49,2</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Udio neposredne potrošnje energije u industriji zadržat će se na oko 17</w:t>
      </w:r>
      <w:r w:rsidR="00060992" w:rsidRPr="00654E3B">
        <w:rPr>
          <w:rFonts w:cs="Times New Roman"/>
        </w:rPr>
        <w:t xml:space="preserve"> %</w:t>
      </w:r>
      <w:r w:rsidRPr="00654E3B">
        <w:rPr>
          <w:rFonts w:cs="Times New Roman"/>
        </w:rPr>
        <w:t xml:space="preserve"> tijekom cijelog promatranog razdoblja. Očekuje se smanjenje udjela prometa te sektora opće potrošnje (kućanstva, usluge i poljoprivreda). </w:t>
      </w:r>
    </w:p>
    <w:p w:rsidR="007D4A93" w:rsidRPr="00654E3B" w:rsidRDefault="00EF0BEB">
      <w:pPr>
        <w:rPr>
          <w:rFonts w:cs="Times New Roman"/>
        </w:rPr>
      </w:pPr>
      <w:r w:rsidRPr="00654E3B">
        <w:rPr>
          <w:rFonts w:cs="Times New Roman"/>
        </w:rPr>
        <w:t>U tablici I.1-1 i tablici I.1-2 prikazane su projekcije neposredne potrošnje energije u NUR scenariju.</w:t>
      </w:r>
    </w:p>
    <w:p w:rsidR="007D4A93" w:rsidRPr="00654E3B" w:rsidRDefault="00EF0BEB">
      <w:pPr>
        <w:rPr>
          <w:rFonts w:cs="Times New Roman"/>
        </w:rPr>
      </w:pPr>
      <w:r w:rsidRPr="00654E3B">
        <w:rPr>
          <w:rFonts w:cs="Times New Roman"/>
          <w:i/>
        </w:rPr>
        <w:t>Tablica I.1-1: Neposredna potrošnja energije po gorivima, NUR</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57,3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45,0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32,4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1505,2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1363,9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1110,2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2596,2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2253,1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1653,1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1189,7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1269,8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1316,9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1507,5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1612,0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1717,1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Toplinska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243,0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250,3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245,4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0,004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0,2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15,9</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7109,7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6804,3</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6098,9</w:t>
            </w:r>
          </w:p>
        </w:tc>
      </w:tr>
    </w:tbl>
    <w:p w:rsidR="007D4A93" w:rsidRPr="00654E3B" w:rsidRDefault="00EF0BEB">
      <w:pPr>
        <w:rPr>
          <w:rFonts w:cs="Times New Roman"/>
          <w:i/>
        </w:rPr>
      </w:pPr>
      <w:r w:rsidRPr="00654E3B">
        <w:rPr>
          <w:rFonts w:cs="Times New Roman"/>
          <w:i/>
        </w:rPr>
        <w:t>Tablica I.1-2: Neposredna potrošnja energije po granama potrošnje, NUR</w:t>
      </w:r>
    </w:p>
    <w:tbl>
      <w:tblPr>
        <w:tblW w:w="0" w:type="auto"/>
        <w:tblLayout w:type="fixed"/>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Industrija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1186,7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1152,4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1077,8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Promet</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2319,7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2189,6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1870,2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Opća potrošnja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3603,2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3462,2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3151,0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Kućanstva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2447,6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2267,6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1978,0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Uslužni sektor</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950,0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1000,0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995,7</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Poljoprivreda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205,6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194,6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177,3</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7109,7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6804,3</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6098,9</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Ukupna potrošnja energije</w:t>
      </w:r>
    </w:p>
    <w:p w:rsidR="007D4A93" w:rsidRPr="00654E3B" w:rsidRDefault="00EF0BEB">
      <w:pPr>
        <w:rPr>
          <w:rFonts w:cs="Times New Roman"/>
        </w:rPr>
      </w:pPr>
      <w:r w:rsidRPr="00654E3B">
        <w:rPr>
          <w:rFonts w:cs="Times New Roman"/>
        </w:rPr>
        <w:lastRenderedPageBreak/>
        <w:t>U NUR scenariju ukupne potrebe za energijom rastu do 2030. godine, a zatim opadaju do 2050. godine. Ukupna potrošnja u 2030. godini je za oko 4</w:t>
      </w:r>
      <w:r w:rsidR="00060992" w:rsidRPr="00654E3B">
        <w:rPr>
          <w:rFonts w:cs="Times New Roman"/>
        </w:rPr>
        <w:t xml:space="preserve"> %</w:t>
      </w:r>
      <w:r w:rsidRPr="00654E3B">
        <w:rPr>
          <w:rFonts w:cs="Times New Roman"/>
        </w:rPr>
        <w:t xml:space="preserve"> veća u odnosu na današnju razinu, dok su u 2050. ukupne potrebe za energijom manje za 8</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U strukturi oblika energije udio krutih i tekućih fosilnih goriva  te električne energije opada, a raste udio prirodnog plina i vodika. Najveća promjena se očekuje na strani OIE čiji udio raste s 21,4</w:t>
      </w:r>
      <w:r w:rsidR="00060992" w:rsidRPr="00654E3B">
        <w:rPr>
          <w:rFonts w:cs="Times New Roman"/>
        </w:rPr>
        <w:t xml:space="preserve"> %</w:t>
      </w:r>
      <w:r w:rsidRPr="00654E3B">
        <w:rPr>
          <w:rFonts w:cs="Times New Roman"/>
        </w:rPr>
        <w:t xml:space="preserve"> na početku razdoblja na 35,7</w:t>
      </w:r>
      <w:r w:rsidR="00060992" w:rsidRPr="00654E3B">
        <w:rPr>
          <w:rFonts w:cs="Times New Roman"/>
        </w:rPr>
        <w:t xml:space="preserve"> %</w:t>
      </w:r>
      <w:r w:rsidRPr="00654E3B">
        <w:rPr>
          <w:rFonts w:cs="Times New Roman"/>
        </w:rPr>
        <w:t xml:space="preserve"> u 2030. godini i na 40,9</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U tablici I.1-3 prikazane su projekcije ukupne potrošnje energije u NUR scenariju.</w:t>
      </w:r>
    </w:p>
    <w:p w:rsidR="007D4A93" w:rsidRPr="00654E3B" w:rsidRDefault="00EF0BEB">
      <w:pPr>
        <w:rPr>
          <w:rFonts w:cs="Times New Roman"/>
          <w:i/>
        </w:rPr>
      </w:pPr>
      <w:r w:rsidRPr="00654E3B">
        <w:rPr>
          <w:rFonts w:cs="Times New Roman"/>
          <w:i/>
        </w:rPr>
        <w:t>Tablica I.1-3: Ukupna potrošnja energije po gorivima, NUR</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253,3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46,5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3203,1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2797,5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2192,4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2446,8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2696,4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2621,2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2936,3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3269,5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3351,9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334,6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130,6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27,1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15,9</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9184,7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8950,7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8250,5</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Obnovljivi izvori energije</w:t>
      </w:r>
    </w:p>
    <w:p w:rsidR="007D4A93" w:rsidRPr="00654E3B" w:rsidRDefault="00EF0BEB">
      <w:pPr>
        <w:rPr>
          <w:rFonts w:cs="Times New Roman"/>
        </w:rPr>
      </w:pPr>
      <w:r w:rsidRPr="00654E3B">
        <w:rPr>
          <w:rFonts w:cs="Times New Roman"/>
        </w:rPr>
        <w:t>U NUR scenariju raste korištenje energije iz obnovljivih izvora kao i njihova diversifikacija. Do 2030. godine korištenje obnovljivih izvora energije se povećava za 55</w:t>
      </w:r>
      <w:r w:rsidR="00060992" w:rsidRPr="00654E3B">
        <w:rPr>
          <w:rFonts w:cs="Times New Roman"/>
        </w:rPr>
        <w:t xml:space="preserve"> %</w:t>
      </w:r>
      <w:r w:rsidRPr="00654E3B">
        <w:rPr>
          <w:rFonts w:cs="Times New Roman"/>
        </w:rPr>
        <w:t>, a do 2050. godine za 77</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U tablici I.1-4 prikazane su projekcije potrošnje obnovljivih izvora energije u NUR scenariju.</w:t>
      </w:r>
    </w:p>
    <w:p w:rsidR="007D4A93" w:rsidRPr="00654E3B" w:rsidRDefault="00EF0BEB">
      <w:pPr>
        <w:rPr>
          <w:rFonts w:cs="Times New Roman"/>
          <w:i/>
        </w:rPr>
      </w:pPr>
      <w:r w:rsidRPr="00654E3B">
        <w:rPr>
          <w:rFonts w:cs="Times New Roman"/>
          <w:i/>
        </w:rPr>
        <w:t xml:space="preserve">Tablica I.1-4: Projekcije potrošnje obnovljivih izvora energije u NUR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Geotermalna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208,5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374,1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446,3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Biogoriva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257,9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304,5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305,9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Bioplin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78,1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78,4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24,5</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Kruta biomasa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1417,9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1284,6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1066,1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Energija Sunca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84,4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184,2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285,7</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Energija vjetra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382,8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521,1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Hidroenergija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619,3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650,8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702,3</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2916,4</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3259,4</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3351,9</w:t>
            </w:r>
          </w:p>
        </w:tc>
      </w:tr>
    </w:tbl>
    <w:p w:rsidR="007D4A93" w:rsidRPr="00654E3B" w:rsidRDefault="007D4A93">
      <w:pPr>
        <w:rPr>
          <w:rFonts w:cs="Times New Roman"/>
          <w:u w:val="single"/>
        </w:rPr>
      </w:pPr>
    </w:p>
    <w:p w:rsidR="007D4A93" w:rsidRPr="00654E3B" w:rsidRDefault="00EF0BEB">
      <w:pPr>
        <w:keepNext/>
        <w:rPr>
          <w:rFonts w:cs="Times New Roman"/>
          <w:u w:val="single"/>
        </w:rPr>
      </w:pPr>
      <w:r w:rsidRPr="00654E3B">
        <w:rPr>
          <w:rFonts w:cs="Times New Roman"/>
          <w:u w:val="single"/>
        </w:rPr>
        <w:t>Proizvodnja električne energije i topline</w:t>
      </w:r>
    </w:p>
    <w:p w:rsidR="007D4A93" w:rsidRPr="00654E3B" w:rsidRDefault="00EF0BEB">
      <w:pPr>
        <w:keepNext/>
        <w:rPr>
          <w:rFonts w:cs="Times New Roman"/>
        </w:rPr>
      </w:pPr>
      <w:r w:rsidRPr="00654E3B">
        <w:rPr>
          <w:rFonts w:cs="Times New Roman"/>
        </w:rPr>
        <w:t xml:space="preserve">U NUR scenariju očekuje se povećanje domaće proizvodnje i značajna promjena u strukturi proizvodnje električne energije. Povećava se udio obnovljivih izvora energije, a smanjuje udio proizvodnje termoelektrana (općenito – termoelektrane, javne toplane i industrijske kogeneracije). Do kraja </w:t>
      </w:r>
      <w:r w:rsidRPr="00654E3B">
        <w:rPr>
          <w:rFonts w:cs="Times New Roman"/>
        </w:rPr>
        <w:lastRenderedPageBreak/>
        <w:t>promatranog razdoblja sve potrebne količine električne energije mogle bi se proizvesti iz domaćih elektrana, ali je moguća razmjena sa susjednim sustavima (tj. neto uvoz je jednak nuli).</w:t>
      </w:r>
    </w:p>
    <w:p w:rsidR="007D4A93" w:rsidRPr="00654E3B" w:rsidRDefault="00EF0BEB">
      <w:pPr>
        <w:rPr>
          <w:rFonts w:cs="Times New Roman"/>
        </w:rPr>
      </w:pPr>
      <w:r w:rsidRPr="00654E3B">
        <w:rPr>
          <w:rFonts w:cs="Times New Roman"/>
        </w:rPr>
        <w:t>U NUR scenariju ukupna snaga elektrana raste na 6,0 GW u 2030. godini, odnosno na 8,3 GW u 2050. godini. Izgradnja novih elektrana u ovom scenariju je najmanja među razmatranim scenarijima s obzirom da ovaj scenarij ima najsporiji porast potrošnje električne energije i pretpostavljena brzina razvoja obnovljivih izvora energije je sporija. Prosječno je godišnje potrebno izgraditi oko 200 MW novih elektrana.</w:t>
      </w:r>
    </w:p>
    <w:p w:rsidR="007D4A93" w:rsidRPr="00654E3B" w:rsidRDefault="00EF0BEB">
      <w:pPr>
        <w:rPr>
          <w:rFonts w:cs="Times New Roman"/>
        </w:rPr>
      </w:pPr>
      <w:r w:rsidRPr="00654E3B">
        <w:rPr>
          <w:rFonts w:cs="Times New Roman"/>
        </w:rPr>
        <w:t>U tablici I.1-5 prikazane su projekcije proizvodnje električne energije u NUR scenariju.</w:t>
      </w:r>
    </w:p>
    <w:p w:rsidR="007D4A93" w:rsidRPr="00654E3B" w:rsidRDefault="00EF0BEB">
      <w:pPr>
        <w:rPr>
          <w:rFonts w:cs="Times New Roman"/>
          <w:i/>
        </w:rPr>
      </w:pPr>
      <w:r w:rsidRPr="00654E3B">
        <w:rPr>
          <w:rFonts w:cs="Times New Roman"/>
          <w:i/>
        </w:rPr>
        <w:t xml:space="preserve">Tablica I.1-5: Projekcije proizvodnje električne energije u NUR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Industrijske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332,7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262,1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Javne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3523,4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3577,1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3164,1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Termoelektrane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1426,8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2084,9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2639,0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Geotermalne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196,9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365,8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427,8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Sunčane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670,8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1643,4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2564,6</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Vjetroelektrane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3026,8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4452,4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6060,0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Hidroelektrane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7201,9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7684,9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8167,8</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16379,5</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20119,1</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23285,4</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Proizvodnja i uvoz energije</w:t>
      </w:r>
    </w:p>
    <w:p w:rsidR="007D4A93" w:rsidRPr="00654E3B" w:rsidRDefault="00EF0BEB">
      <w:pPr>
        <w:rPr>
          <w:rFonts w:cs="Times New Roman"/>
        </w:rPr>
      </w:pPr>
      <w:r w:rsidRPr="00654E3B">
        <w:rPr>
          <w:rFonts w:cs="Times New Roman"/>
        </w:rPr>
        <w:t>U NUR scenariju udio domaće proizvodnje energije u ukupnoj potrošnji energije opada prema kraju razdoblja zbog snažnog opadanja proizvodnje iz domaćih naftnih i plinskih ležišta, kao i sporijeg povećanja proizvodnje iz obnovljivih izvora energije.</w:t>
      </w:r>
    </w:p>
    <w:p w:rsidR="007D4A93" w:rsidRPr="00654E3B" w:rsidRDefault="00EF0BEB">
      <w:pPr>
        <w:rPr>
          <w:rFonts w:cs="Times New Roman"/>
        </w:rPr>
      </w:pPr>
      <w:r w:rsidRPr="00654E3B">
        <w:rPr>
          <w:rFonts w:cs="Times New Roman"/>
        </w:rPr>
        <w:t>U tablici I.1-6 prikazane su projekcije proizvodnje i uvoza energije u NUR scenariju.</w:t>
      </w:r>
    </w:p>
    <w:p w:rsidR="007D4A93" w:rsidRPr="00654E3B" w:rsidRDefault="00EF0BEB">
      <w:pPr>
        <w:rPr>
          <w:rFonts w:cs="Times New Roman"/>
          <w:i/>
        </w:rPr>
      </w:pPr>
      <w:r w:rsidRPr="00654E3B">
        <w:rPr>
          <w:rFonts w:cs="Times New Roman"/>
          <w:i/>
        </w:rPr>
        <w:t xml:space="preserve">Tablica I.1-6: Projekcije proizvodnje i uvoza energije u NUR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Domaća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5020,6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4692,2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3750,6</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Uvozna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4164,2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4258,5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4445,6</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9184,9</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8950,7</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8196,3</w:t>
            </w:r>
          </w:p>
        </w:tc>
      </w:tr>
    </w:tbl>
    <w:p w:rsidR="007D4A93" w:rsidRPr="00654E3B" w:rsidRDefault="00EF0BEB">
      <w:pPr>
        <w:pStyle w:val="Heading2"/>
        <w:rPr>
          <w:rFonts w:ascii="Times New Roman" w:hAnsi="Times New Roman" w:cs="Times New Roman"/>
        </w:rPr>
      </w:pPr>
      <w:bookmarkStart w:id="350" w:name="_Toc436823717"/>
      <w:bookmarkStart w:id="351" w:name="_Toc434968019"/>
      <w:bookmarkStart w:id="352" w:name="_Toc69810219"/>
      <w:r w:rsidRPr="00654E3B">
        <w:rPr>
          <w:rFonts w:ascii="Times New Roman" w:hAnsi="Times New Roman" w:cs="Times New Roman"/>
        </w:rPr>
        <w:t xml:space="preserve">I.2. </w:t>
      </w:r>
      <w:r w:rsidRPr="00654E3B">
        <w:rPr>
          <w:rFonts w:ascii="Times New Roman" w:hAnsi="Times New Roman" w:cs="Times New Roman"/>
        </w:rPr>
        <w:tab/>
        <w:t>INDUSTRIJA</w:t>
      </w:r>
      <w:bookmarkEnd w:id="350"/>
      <w:bookmarkEnd w:id="351"/>
      <w:bookmarkEnd w:id="352"/>
    </w:p>
    <w:p w:rsidR="007D4A93" w:rsidRPr="00654E3B" w:rsidRDefault="007D4A93">
      <w:pPr>
        <w:keepNext/>
        <w:rPr>
          <w:rFonts w:cs="Times New Roman"/>
        </w:rPr>
      </w:pPr>
    </w:p>
    <w:p w:rsidR="007D4A93" w:rsidRPr="00654E3B" w:rsidRDefault="00EF0BEB">
      <w:pPr>
        <w:keepNext/>
        <w:rPr>
          <w:rFonts w:eastAsia="MS Mincho" w:cs="Times New Roman"/>
          <w:szCs w:val="24"/>
          <w:lang w:eastAsia="ja-JP"/>
        </w:rPr>
      </w:pPr>
      <w:r w:rsidRPr="00654E3B">
        <w:rPr>
          <w:rFonts w:eastAsia="MS Mincho" w:cs="Times New Roman"/>
          <w:szCs w:val="24"/>
          <w:lang w:eastAsia="ja-JP"/>
        </w:rPr>
        <w:t xml:space="preserve">Sektor industrije uključuje emisije stakleničkih plinova od izgaranja goriva i procesne emisije u prerađivačkoj industriji te emisije uslijed uporabe fluoriranih stakleničkih plinova. </w:t>
      </w:r>
    </w:p>
    <w:p w:rsidR="007D4A93" w:rsidRPr="00654E3B" w:rsidRDefault="00EF0BEB">
      <w:pPr>
        <w:keepNext/>
        <w:rPr>
          <w:rFonts w:cs="Times New Roman"/>
          <w:u w:val="single"/>
        </w:rPr>
      </w:pPr>
      <w:r w:rsidRPr="00654E3B">
        <w:rPr>
          <w:rFonts w:cs="Times New Roman"/>
          <w:u w:val="single"/>
        </w:rPr>
        <w:t>Prerađivačka industrija</w:t>
      </w:r>
    </w:p>
    <w:p w:rsidR="007D4A93" w:rsidRPr="00654E3B" w:rsidRDefault="00EF0BEB">
      <w:pPr>
        <w:keepNext/>
        <w:rPr>
          <w:rFonts w:eastAsia="MS Mincho" w:cs="Times New Roman"/>
          <w:szCs w:val="24"/>
          <w:lang w:eastAsia="ja-JP"/>
        </w:rPr>
      </w:pPr>
      <w:r w:rsidRPr="00654E3B">
        <w:rPr>
          <w:rFonts w:eastAsia="MS Mincho" w:cs="Times New Roman"/>
          <w:szCs w:val="24"/>
          <w:lang w:eastAsia="ja-JP"/>
        </w:rPr>
        <w:t>Projekcije su provedene na temelju očekivanog razvoja pojedinih industrijskih grana koji uključuje ciljeve do 2050. godine. Uključene su sljedeće ključne pretpostavke:</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 xml:space="preserve">Projekcije polaze od stanja i projekcija makroekonomskih parametara i rezultata sektorskih analiza. </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lastRenderedPageBreak/>
        <w:t>Industrijska ekonomska aktivnost prema industrijskim granama procijenjena je temeljem sektorskih analiza o planiranoj proizvodnji pojedinih industrijskih grana te projiciranih makroekonomskih pokazatelja o bruto dodanoj vrijednosti po industrijskim granama.</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Projekcije emisija iz potrošnje energije u prerađivačkoj industriji i graditeljstvu podijeljene su prema sektorima, sukladno IPCC metodologiji. Procesne emisije iz gospodarskih djelatnosti koje su, sukladno IPCC metodologiji, uključene u sektor industrijskih procesa i upotrebe proizvoda procijenjene su temeljem detaljnih sektorskih projekcija proizvodnje cementa, amonijaka i dušične kiseline te projiciranih makroekonomskih pokazatelja o bruto dodanoj vrijednosti po ostalim industrijskim granama, godišnjoj stopi porasta bruto društvenog proizvoda i smanjenju broja stanovnika.</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Primjenu mjera definiranih strateškim i planskim sektorskim dokumentima uključenima u poslovnu politiku većih proizvođača, što je uvjetovano zahtjevima tržišta, zakonskim i podzakonskim propisima te zahtjevima primjene najboljih raspoloživih tehnika u proizvodnim procesima.</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 xml:space="preserve">U projekcije su uključene pretpostavke da neće biti instalirani novi kapaciteti u industriji te da će proizvodnja do 2050. dosegnuti maksimalne vrijednosti. </w:t>
      </w:r>
    </w:p>
    <w:p w:rsidR="007D4A93" w:rsidRPr="00654E3B" w:rsidRDefault="00EF0BEB" w:rsidP="000C6795">
      <w:pPr>
        <w:pStyle w:val="ListParagraph"/>
        <w:numPr>
          <w:ilvl w:val="0"/>
          <w:numId w:val="72"/>
        </w:numPr>
        <w:spacing w:line="240" w:lineRule="auto"/>
        <w:ind w:left="714" w:hanging="357"/>
        <w:rPr>
          <w:rFonts w:eastAsia="MS Mincho" w:cs="Times New Roman"/>
          <w:szCs w:val="24"/>
          <w:lang w:eastAsia="ja-JP"/>
        </w:rPr>
      </w:pPr>
      <w:r w:rsidRPr="00654E3B">
        <w:rPr>
          <w:rFonts w:eastAsia="MS Mincho" w:cs="Times New Roman"/>
          <w:szCs w:val="24"/>
          <w:lang w:eastAsia="ja-JP"/>
        </w:rPr>
        <w:t>Procesne emisije CO</w:t>
      </w:r>
      <w:r w:rsidRPr="00654E3B">
        <w:rPr>
          <w:rFonts w:eastAsia="MS Mincho" w:cs="Times New Roman"/>
          <w:szCs w:val="24"/>
          <w:vertAlign w:val="subscript"/>
          <w:lang w:eastAsia="ja-JP"/>
        </w:rPr>
        <w:t>2</w:t>
      </w:r>
      <w:r w:rsidRPr="00654E3B">
        <w:rPr>
          <w:rFonts w:eastAsia="MS Mincho" w:cs="Times New Roman"/>
          <w:szCs w:val="24"/>
          <w:lang w:eastAsia="ja-JP"/>
        </w:rPr>
        <w:t xml:space="preserve"> potječu i od emisija NMHOS koji doprinosi emisiji CO</w:t>
      </w:r>
      <w:r w:rsidRPr="00654E3B">
        <w:rPr>
          <w:rFonts w:eastAsia="MS Mincho" w:cs="Times New Roman"/>
          <w:szCs w:val="24"/>
          <w:vertAlign w:val="subscript"/>
          <w:lang w:eastAsia="ja-JP"/>
        </w:rPr>
        <w:t>2</w:t>
      </w:r>
      <w:r w:rsidRPr="00654E3B">
        <w:rPr>
          <w:rFonts w:eastAsia="MS Mincho" w:cs="Times New Roman"/>
          <w:szCs w:val="24"/>
          <w:lang w:eastAsia="ja-JP"/>
        </w:rPr>
        <w:t>eq. Projekcije emisija NMHOS za razdoblje do 2050. godine izračunavaju se na temelju emisija iz zadnje povijesne godine i pretpostavljajući povezanost s kretanjem stanovništva ili ekonomskim rastom odnosno nastavkom trenda, ovisno o kategorijama.</w:t>
      </w:r>
    </w:p>
    <w:p w:rsidR="007D4A93" w:rsidRPr="00654E3B" w:rsidRDefault="00EF0BEB">
      <w:pPr>
        <w:rPr>
          <w:rFonts w:cs="Times New Roman"/>
          <w:u w:val="single"/>
        </w:rPr>
      </w:pPr>
      <w:r w:rsidRPr="00654E3B">
        <w:rPr>
          <w:rFonts w:cs="Times New Roman"/>
          <w:u w:val="single"/>
        </w:rPr>
        <w:t>Uporaba zamjenskih tvari za tvari koje oštećuju ozonski sloj</w:t>
      </w:r>
    </w:p>
    <w:p w:rsidR="007D4A93" w:rsidRPr="00654E3B" w:rsidRDefault="00EF0BEB">
      <w:pPr>
        <w:rPr>
          <w:rFonts w:cs="Times New Roman"/>
        </w:rPr>
      </w:pPr>
      <w:r w:rsidRPr="00654E3B">
        <w:rPr>
          <w:rFonts w:cs="Times New Roman"/>
        </w:rPr>
        <w:t>NUR scenarij uključuje postojeći pravni okvir Republike Hrvatske i usvojeni pravni okvir EU iz područja uporabe fluoriranih stakleničkih plinova za razdoblje do 2030. godine. Za razdoblje nakon 2030. godine korištene su pretpostavke za primjenu mjera koje bi se ostvarile bez politika ublažavanja klimatskih promjena, temeljem projekcija broja stanovnika, broja vozila te stručnih procjena temeljenih na analizi grupe zemalja sličnih nacionalnih karakteristika.</w:t>
      </w:r>
    </w:p>
    <w:p w:rsidR="007D4A93" w:rsidRPr="00654E3B" w:rsidRDefault="00EF0BEB">
      <w:pPr>
        <w:spacing w:line="240" w:lineRule="auto"/>
        <w:rPr>
          <w:rFonts w:cs="Times New Roman"/>
        </w:rPr>
      </w:pPr>
      <w:r w:rsidRPr="00654E3B">
        <w:rPr>
          <w:rFonts w:cs="Times New Roman"/>
        </w:rPr>
        <w:t>U izradi projekcija uključene su pretpostavke o ograničavanju i smanjenju uporabe fluoriranih stakleničkih plinova, sukladno odredbama Uredbe (EU) br. 517/2014 i Direktive 2006/40/EZ:</w:t>
      </w:r>
    </w:p>
    <w:p w:rsidR="007D4A93" w:rsidRPr="00654E3B" w:rsidRDefault="00EF0BEB" w:rsidP="000C6795">
      <w:pPr>
        <w:pStyle w:val="ListParagraph"/>
        <w:numPr>
          <w:ilvl w:val="0"/>
          <w:numId w:val="59"/>
        </w:numPr>
        <w:spacing w:line="240" w:lineRule="auto"/>
        <w:rPr>
          <w:rFonts w:cs="Times New Roman"/>
        </w:rPr>
      </w:pPr>
      <w:r w:rsidRPr="00654E3B">
        <w:rPr>
          <w:rFonts w:cs="Times New Roman"/>
        </w:rPr>
        <w:t>Ograničavanje količine fluorougljikovodika dostupnih na tržištu do 2030. godine na 21</w:t>
      </w:r>
      <w:r w:rsidR="00060992" w:rsidRPr="00654E3B">
        <w:rPr>
          <w:rFonts w:cs="Times New Roman"/>
        </w:rPr>
        <w:t xml:space="preserve"> %</w:t>
      </w:r>
      <w:r w:rsidRPr="00654E3B">
        <w:rPr>
          <w:rFonts w:cs="Times New Roman"/>
        </w:rPr>
        <w:t xml:space="preserve"> od ukupne količine fluorougljikovodika koji su stavljeni na tržište tijekom referentnog razdoblja od 2009. do 2012. godine.</w:t>
      </w:r>
    </w:p>
    <w:p w:rsidR="007D4A93" w:rsidRPr="00654E3B" w:rsidRDefault="00EF0BEB" w:rsidP="000C6795">
      <w:pPr>
        <w:pStyle w:val="ListParagraph"/>
        <w:numPr>
          <w:ilvl w:val="0"/>
          <w:numId w:val="59"/>
        </w:numPr>
        <w:spacing w:line="240" w:lineRule="auto"/>
        <w:rPr>
          <w:rFonts w:cs="Times New Roman"/>
        </w:rPr>
      </w:pPr>
      <w:r w:rsidRPr="00654E3B">
        <w:rPr>
          <w:rFonts w:cs="Times New Roman"/>
        </w:rPr>
        <w:t>Ograničavanje mogućnosti naknadne ugradnje klimatizacijske opreme oblikovane da sadrži fluorirane stakleničke plinove s potencijalom globalnog zagrijavanja iznad 150 u motorna vozila i zabrana punjenja klimatizacijske opreme tim plinovima.</w:t>
      </w:r>
    </w:p>
    <w:p w:rsidR="007D4A93" w:rsidRPr="00654E3B" w:rsidRDefault="007D4A93">
      <w:pPr>
        <w:rPr>
          <w:rFonts w:eastAsia="Calibri Light" w:cs="Times New Roman"/>
          <w:b/>
          <w:bCs/>
          <w:sz w:val="28"/>
          <w:szCs w:val="28"/>
        </w:rPr>
      </w:pPr>
      <w:bookmarkStart w:id="353" w:name="_Toc436823718"/>
      <w:bookmarkStart w:id="354" w:name="_Toc434968020"/>
    </w:p>
    <w:p w:rsidR="007D4A93" w:rsidRPr="00654E3B" w:rsidRDefault="00EF0BEB">
      <w:pPr>
        <w:pStyle w:val="Heading2"/>
        <w:rPr>
          <w:rFonts w:ascii="Times New Roman" w:hAnsi="Times New Roman" w:cs="Times New Roman"/>
        </w:rPr>
      </w:pPr>
      <w:bookmarkStart w:id="355" w:name="_Toc69810220"/>
      <w:r w:rsidRPr="00654E3B">
        <w:rPr>
          <w:rFonts w:ascii="Times New Roman" w:hAnsi="Times New Roman" w:cs="Times New Roman"/>
        </w:rPr>
        <w:t xml:space="preserve">I.3. </w:t>
      </w:r>
      <w:r w:rsidRPr="00654E3B">
        <w:rPr>
          <w:rFonts w:ascii="Times New Roman" w:hAnsi="Times New Roman" w:cs="Times New Roman"/>
        </w:rPr>
        <w:tab/>
        <w:t>PROMET</w:t>
      </w:r>
      <w:bookmarkEnd w:id="353"/>
      <w:bookmarkEnd w:id="354"/>
      <w:bookmarkEnd w:id="355"/>
    </w:p>
    <w:p w:rsidR="007D4A93" w:rsidRPr="00654E3B" w:rsidRDefault="007D4A93">
      <w:pPr>
        <w:keepNext/>
        <w:rPr>
          <w:rFonts w:cs="Times New Roman"/>
        </w:rPr>
      </w:pPr>
    </w:p>
    <w:p w:rsidR="007D4A93" w:rsidRPr="00654E3B" w:rsidRDefault="00EF0BEB">
      <w:pPr>
        <w:keepNext/>
        <w:rPr>
          <w:rFonts w:cs="Times New Roman"/>
        </w:rPr>
      </w:pPr>
      <w:r w:rsidRPr="00654E3B">
        <w:rPr>
          <w:rFonts w:cs="Times New Roman"/>
        </w:rPr>
        <w:t>NUR scenarij podrazumijeva strukturalne promjene koje su rezultat isključivo postojećih mjera energetske učinkovitosti i dekarbonizacije u sektoru prometa. Osim postojećih mjera, predmetni scenarij u obzir uzima i napredak u kontekstu energetske intenzivnosti svake pojedine tehnologije.</w:t>
      </w:r>
    </w:p>
    <w:p w:rsidR="007D4A93" w:rsidRPr="00654E3B" w:rsidRDefault="00EF0BEB">
      <w:pPr>
        <w:keepNext/>
        <w:rPr>
          <w:rFonts w:cs="Times New Roman"/>
        </w:rPr>
      </w:pPr>
      <w:r w:rsidRPr="00654E3B">
        <w:rPr>
          <w:rFonts w:cs="Times New Roman"/>
        </w:rPr>
        <w:t>Uključene su sljedeće pretpostavke:</w:t>
      </w:r>
    </w:p>
    <w:p w:rsidR="007D4A93" w:rsidRPr="00654E3B" w:rsidRDefault="00EF0BEB" w:rsidP="000C6795">
      <w:pPr>
        <w:pStyle w:val="ListParagraph"/>
        <w:numPr>
          <w:ilvl w:val="0"/>
          <w:numId w:val="60"/>
        </w:numPr>
        <w:rPr>
          <w:rFonts w:cs="Times New Roman"/>
        </w:rPr>
      </w:pPr>
      <w:r w:rsidRPr="00654E3B">
        <w:rPr>
          <w:rFonts w:cs="Times New Roman"/>
        </w:rPr>
        <w:t>porast udjela električnih vozila na 11</w:t>
      </w:r>
      <w:r w:rsidR="00060992" w:rsidRPr="00654E3B">
        <w:rPr>
          <w:rFonts w:cs="Times New Roman"/>
        </w:rPr>
        <w:t xml:space="preserve"> %</w:t>
      </w:r>
      <w:r w:rsidRPr="00654E3B">
        <w:rPr>
          <w:rFonts w:cs="Times New Roman"/>
        </w:rPr>
        <w:t xml:space="preserve"> od ukupnog broja osobnih vozila u 2050. godini, odnosno 243.600 električnih vozila u 2050. godini</w:t>
      </w:r>
    </w:p>
    <w:p w:rsidR="007D4A93" w:rsidRPr="00654E3B" w:rsidRDefault="00EF0BEB" w:rsidP="000C6795">
      <w:pPr>
        <w:pStyle w:val="ListParagraph"/>
        <w:numPr>
          <w:ilvl w:val="0"/>
          <w:numId w:val="60"/>
        </w:numPr>
        <w:rPr>
          <w:rFonts w:cs="Times New Roman"/>
        </w:rPr>
      </w:pPr>
      <w:r w:rsidRPr="00654E3B">
        <w:rPr>
          <w:rFonts w:cs="Times New Roman"/>
        </w:rPr>
        <w:t>porast broja hibridnih i plug-in hibridnih vozila na 14,6</w:t>
      </w:r>
      <w:r w:rsidR="00060992" w:rsidRPr="00654E3B">
        <w:rPr>
          <w:rFonts w:cs="Times New Roman"/>
        </w:rPr>
        <w:t xml:space="preserve"> %</w:t>
      </w:r>
      <w:r w:rsidRPr="00654E3B">
        <w:rPr>
          <w:rFonts w:cs="Times New Roman"/>
        </w:rPr>
        <w:t xml:space="preserve"> od ukupnog broja osobnih vozila do 2050. godine, čime bi broj hibridnih i plug-in hibridnih vozila u 2050. godini iznosio ukupno 320.000 </w:t>
      </w:r>
    </w:p>
    <w:p w:rsidR="007D4A93" w:rsidRPr="00654E3B" w:rsidRDefault="00EF0BEB" w:rsidP="000C6795">
      <w:pPr>
        <w:pStyle w:val="ListParagraph"/>
        <w:numPr>
          <w:ilvl w:val="0"/>
          <w:numId w:val="60"/>
        </w:numPr>
        <w:rPr>
          <w:rFonts w:cs="Times New Roman"/>
        </w:rPr>
      </w:pPr>
      <w:r w:rsidRPr="00654E3B">
        <w:rPr>
          <w:rFonts w:cs="Times New Roman"/>
        </w:rPr>
        <w:t>porast broja vozila koja koriste vodik nakon 2030. godine na 1,4</w:t>
      </w:r>
      <w:r w:rsidR="00060992" w:rsidRPr="00654E3B">
        <w:rPr>
          <w:rFonts w:cs="Times New Roman"/>
        </w:rPr>
        <w:t xml:space="preserve"> %</w:t>
      </w:r>
      <w:r w:rsidRPr="00654E3B">
        <w:rPr>
          <w:rFonts w:cs="Times New Roman"/>
        </w:rPr>
        <w:t xml:space="preserve"> od ukupnog broja osobnih vozila, odnosno na oko 31.000 vozila u 2050. godini</w:t>
      </w:r>
    </w:p>
    <w:p w:rsidR="007D4A93" w:rsidRPr="00654E3B" w:rsidRDefault="00EF0BEB" w:rsidP="000C6795">
      <w:pPr>
        <w:pStyle w:val="ListParagraph"/>
        <w:numPr>
          <w:ilvl w:val="0"/>
          <w:numId w:val="60"/>
        </w:numPr>
        <w:rPr>
          <w:rFonts w:cs="Times New Roman"/>
        </w:rPr>
      </w:pPr>
      <w:r w:rsidRPr="00654E3B">
        <w:rPr>
          <w:rFonts w:cs="Times New Roman"/>
        </w:rPr>
        <w:t>porast udjela biogoriva u benzinskim i dizelskim gorivima na prosječnih 8</w:t>
      </w:r>
      <w:r w:rsidR="00060992" w:rsidRPr="00654E3B">
        <w:rPr>
          <w:rFonts w:cs="Times New Roman"/>
        </w:rPr>
        <w:t xml:space="preserve"> %</w:t>
      </w:r>
      <w:r w:rsidRPr="00654E3B">
        <w:rPr>
          <w:rFonts w:cs="Times New Roman"/>
        </w:rPr>
        <w:t xml:space="preserve"> do 2050. godine</w:t>
      </w:r>
    </w:p>
    <w:p w:rsidR="007D4A93" w:rsidRPr="00654E3B" w:rsidRDefault="00EF0BEB" w:rsidP="000C6795">
      <w:pPr>
        <w:pStyle w:val="ListParagraph"/>
        <w:numPr>
          <w:ilvl w:val="0"/>
          <w:numId w:val="60"/>
        </w:numPr>
        <w:rPr>
          <w:rFonts w:cs="Times New Roman"/>
        </w:rPr>
      </w:pPr>
      <w:r w:rsidRPr="00654E3B">
        <w:rPr>
          <w:rFonts w:cs="Times New Roman"/>
        </w:rPr>
        <w:t>razvoj uspješno promicanje integriranog gradskog prometa</w:t>
      </w:r>
    </w:p>
    <w:p w:rsidR="007D4A93" w:rsidRPr="00654E3B" w:rsidRDefault="00EF0BEB" w:rsidP="000C6795">
      <w:pPr>
        <w:pStyle w:val="ListParagraph"/>
        <w:numPr>
          <w:ilvl w:val="0"/>
          <w:numId w:val="60"/>
        </w:numPr>
        <w:rPr>
          <w:rFonts w:cs="Times New Roman"/>
        </w:rPr>
      </w:pPr>
      <w:r w:rsidRPr="00654E3B">
        <w:rPr>
          <w:rFonts w:cs="Times New Roman"/>
        </w:rPr>
        <w:lastRenderedPageBreak/>
        <w:t xml:space="preserve">razvoj međugradskog prometa s naglaskom na željeznički promet putnika i tereta. </w:t>
      </w:r>
    </w:p>
    <w:p w:rsidR="007D4A93" w:rsidRPr="00654E3B" w:rsidRDefault="007D4A93">
      <w:pPr>
        <w:ind w:left="360"/>
        <w:rPr>
          <w:rFonts w:cs="Times New Roman"/>
        </w:rPr>
      </w:pPr>
    </w:p>
    <w:p w:rsidR="007D4A93" w:rsidRPr="00654E3B" w:rsidRDefault="00EF0BEB">
      <w:pPr>
        <w:pStyle w:val="Heading2"/>
        <w:rPr>
          <w:rFonts w:ascii="Times New Roman" w:hAnsi="Times New Roman" w:cs="Times New Roman"/>
        </w:rPr>
      </w:pPr>
      <w:bookmarkStart w:id="356" w:name="_Toc436823719"/>
      <w:bookmarkStart w:id="357" w:name="_Toc434968021"/>
      <w:bookmarkStart w:id="358" w:name="_Toc69810221"/>
      <w:r w:rsidRPr="00654E3B">
        <w:rPr>
          <w:rFonts w:ascii="Times New Roman" w:hAnsi="Times New Roman" w:cs="Times New Roman"/>
        </w:rPr>
        <w:t xml:space="preserve">I.4. </w:t>
      </w:r>
      <w:r w:rsidRPr="00654E3B">
        <w:rPr>
          <w:rFonts w:ascii="Times New Roman" w:hAnsi="Times New Roman" w:cs="Times New Roman"/>
        </w:rPr>
        <w:tab/>
        <w:t>SEKTOR OPĆE POTROŠNJE</w:t>
      </w:r>
      <w:bookmarkEnd w:id="356"/>
      <w:bookmarkEnd w:id="357"/>
      <w:bookmarkEnd w:id="358"/>
    </w:p>
    <w:p w:rsidR="007D4A93" w:rsidRPr="00654E3B" w:rsidRDefault="007D4A93">
      <w:pPr>
        <w:rPr>
          <w:rFonts w:cs="Times New Roman"/>
        </w:rPr>
      </w:pPr>
    </w:p>
    <w:p w:rsidR="007D4A93" w:rsidRPr="00654E3B" w:rsidRDefault="00EF0BEB">
      <w:pPr>
        <w:rPr>
          <w:rFonts w:cs="Times New Roman"/>
        </w:rPr>
      </w:pPr>
      <w:r w:rsidRPr="00654E3B">
        <w:rPr>
          <w:rFonts w:cs="Times New Roman"/>
        </w:rPr>
        <w:t>Prilikom izrade projekcija u sektoru opće potrošnje uključene su sljedeće ključne pretpostavke:</w:t>
      </w:r>
    </w:p>
    <w:p w:rsidR="007D4A93" w:rsidRPr="00654E3B" w:rsidRDefault="00EF0BEB" w:rsidP="000C6795">
      <w:pPr>
        <w:pStyle w:val="ListParagraph"/>
        <w:numPr>
          <w:ilvl w:val="0"/>
          <w:numId w:val="61"/>
        </w:numPr>
        <w:spacing w:line="240" w:lineRule="auto"/>
        <w:ind w:hanging="357"/>
        <w:jc w:val="left"/>
        <w:rPr>
          <w:rFonts w:cs="Times New Roman"/>
          <w:color w:val="000000"/>
          <w:szCs w:val="24"/>
        </w:rPr>
      </w:pPr>
      <w:r w:rsidRPr="00654E3B">
        <w:rPr>
          <w:rFonts w:cs="Times New Roman"/>
        </w:rPr>
        <w:t>energetska obnova fonda zgrada samo u opsegu koji se događa bez dodatnih mjera i politika</w:t>
      </w:r>
    </w:p>
    <w:p w:rsidR="007D4A93" w:rsidRPr="00654E3B" w:rsidRDefault="00EF0BEB" w:rsidP="000C6795">
      <w:pPr>
        <w:pStyle w:val="ListParagraph"/>
        <w:numPr>
          <w:ilvl w:val="0"/>
          <w:numId w:val="61"/>
        </w:numPr>
        <w:spacing w:line="240" w:lineRule="auto"/>
        <w:rPr>
          <w:rFonts w:cs="Times New Roman"/>
          <w:color w:val="000000"/>
          <w:szCs w:val="24"/>
        </w:rPr>
      </w:pPr>
      <w:r w:rsidRPr="00654E3B">
        <w:rPr>
          <w:rFonts w:cs="Times New Roman"/>
          <w:color w:val="000000"/>
          <w:szCs w:val="24"/>
        </w:rPr>
        <w:t>nema značajnij</w:t>
      </w:r>
      <w:r w:rsidR="00982D90" w:rsidRPr="00654E3B">
        <w:rPr>
          <w:rFonts w:cs="Times New Roman"/>
          <w:color w:val="000000"/>
          <w:szCs w:val="24"/>
        </w:rPr>
        <w:t>eg povećanja udjela</w:t>
      </w:r>
      <w:r w:rsidRPr="00654E3B">
        <w:rPr>
          <w:rFonts w:cs="Times New Roman"/>
          <w:color w:val="000000"/>
          <w:szCs w:val="24"/>
        </w:rPr>
        <w:t xml:space="preserve"> električne energije u potrošnji energije za toplinske potrebe, a dominantan energent za zadovoljavanje toplinskih potreba je prirodni plin </w:t>
      </w:r>
    </w:p>
    <w:p w:rsidR="007D4A93" w:rsidRPr="00654E3B" w:rsidRDefault="00EF0BEB" w:rsidP="000C6795">
      <w:pPr>
        <w:pStyle w:val="ListParagraph"/>
        <w:numPr>
          <w:ilvl w:val="0"/>
          <w:numId w:val="61"/>
        </w:numPr>
        <w:spacing w:line="240" w:lineRule="auto"/>
        <w:rPr>
          <w:rFonts w:cs="Times New Roman"/>
          <w:color w:val="000000"/>
          <w:szCs w:val="24"/>
        </w:rPr>
      </w:pPr>
      <w:r w:rsidRPr="00654E3B">
        <w:rPr>
          <w:rFonts w:cs="Times New Roman"/>
          <w:color w:val="000000"/>
          <w:szCs w:val="24"/>
        </w:rPr>
        <w:t>specifične toplinske potrebe ukupnog stambenog fonda u 2050. godini bile bi 93 kWh/m</w:t>
      </w:r>
      <w:r w:rsidRPr="00654E3B">
        <w:rPr>
          <w:rFonts w:cs="Times New Roman"/>
          <w:color w:val="000000"/>
          <w:szCs w:val="24"/>
          <w:vertAlign w:val="superscript"/>
        </w:rPr>
        <w:t>2</w:t>
      </w:r>
      <w:r w:rsidRPr="00654E3B">
        <w:rPr>
          <w:rFonts w:cs="Times New Roman"/>
          <w:color w:val="000000"/>
          <w:szCs w:val="24"/>
        </w:rPr>
        <w:t xml:space="preserve"> grijane površine što je posljedica 25</w:t>
      </w:r>
      <w:r w:rsidR="00060992" w:rsidRPr="00654E3B">
        <w:rPr>
          <w:rFonts w:cs="Times New Roman"/>
          <w:color w:val="000000"/>
          <w:szCs w:val="24"/>
        </w:rPr>
        <w:t xml:space="preserve"> %</w:t>
      </w:r>
      <w:r w:rsidRPr="00654E3B">
        <w:rPr>
          <w:rFonts w:cs="Times New Roman"/>
          <w:color w:val="000000"/>
          <w:szCs w:val="24"/>
        </w:rPr>
        <w:t xml:space="preserve"> novoizgrađenih stambenih jedinica te 4</w:t>
      </w:r>
      <w:r w:rsidR="00060992" w:rsidRPr="00654E3B">
        <w:rPr>
          <w:rFonts w:cs="Times New Roman"/>
          <w:color w:val="000000"/>
          <w:szCs w:val="24"/>
        </w:rPr>
        <w:t xml:space="preserve"> %</w:t>
      </w:r>
      <w:r w:rsidRPr="00654E3B">
        <w:rPr>
          <w:rFonts w:cs="Times New Roman"/>
          <w:color w:val="000000"/>
          <w:szCs w:val="24"/>
        </w:rPr>
        <w:t xml:space="preserve"> obnovljenih na kraju promatranog razdoblja </w:t>
      </w:r>
    </w:p>
    <w:p w:rsidR="007D4A93" w:rsidRPr="00654E3B" w:rsidRDefault="00EF0BEB" w:rsidP="000C6795">
      <w:pPr>
        <w:pStyle w:val="ListParagraph"/>
        <w:numPr>
          <w:ilvl w:val="0"/>
          <w:numId w:val="61"/>
        </w:numPr>
        <w:spacing w:line="240" w:lineRule="auto"/>
        <w:rPr>
          <w:rFonts w:cs="Times New Roman"/>
          <w:color w:val="000000"/>
          <w:szCs w:val="24"/>
        </w:rPr>
      </w:pPr>
      <w:r w:rsidRPr="00654E3B">
        <w:rPr>
          <w:rFonts w:cs="Times New Roman"/>
          <w:color w:val="000000"/>
          <w:szCs w:val="24"/>
        </w:rPr>
        <w:t>u 2050. godini u kućanstva će se grijati 35</w:t>
      </w:r>
      <w:r w:rsidR="00060992" w:rsidRPr="00654E3B">
        <w:rPr>
          <w:rFonts w:cs="Times New Roman"/>
          <w:color w:val="000000"/>
          <w:szCs w:val="24"/>
        </w:rPr>
        <w:t xml:space="preserve"> %</w:t>
      </w:r>
      <w:r w:rsidRPr="00654E3B">
        <w:rPr>
          <w:rFonts w:cs="Times New Roman"/>
          <w:color w:val="000000"/>
          <w:szCs w:val="24"/>
        </w:rPr>
        <w:t xml:space="preserve"> biomasom (ogrjevno drvo i moderna biomasa), 14</w:t>
      </w:r>
      <w:r w:rsidR="00060992" w:rsidRPr="00654E3B">
        <w:rPr>
          <w:rFonts w:cs="Times New Roman"/>
          <w:color w:val="000000"/>
          <w:szCs w:val="24"/>
        </w:rPr>
        <w:t xml:space="preserve"> %</w:t>
      </w:r>
      <w:r w:rsidRPr="00654E3B">
        <w:rPr>
          <w:rFonts w:cs="Times New Roman"/>
          <w:color w:val="000000"/>
          <w:szCs w:val="24"/>
        </w:rPr>
        <w:t xml:space="preserve"> dizalicama topline (električna energija), 10</w:t>
      </w:r>
      <w:r w:rsidR="00060992" w:rsidRPr="00654E3B">
        <w:rPr>
          <w:rFonts w:cs="Times New Roman"/>
          <w:color w:val="000000"/>
          <w:szCs w:val="24"/>
        </w:rPr>
        <w:t xml:space="preserve"> %</w:t>
      </w:r>
      <w:r w:rsidRPr="00654E3B">
        <w:rPr>
          <w:rFonts w:cs="Times New Roman"/>
          <w:color w:val="000000"/>
          <w:szCs w:val="24"/>
        </w:rPr>
        <w:t xml:space="preserve"> daljinskim grijanjem i 41</w:t>
      </w:r>
      <w:r w:rsidR="00060992" w:rsidRPr="00654E3B">
        <w:rPr>
          <w:rFonts w:cs="Times New Roman"/>
          <w:color w:val="000000"/>
          <w:szCs w:val="24"/>
        </w:rPr>
        <w:t xml:space="preserve"> %</w:t>
      </w:r>
      <w:r w:rsidRPr="00654E3B">
        <w:rPr>
          <w:rFonts w:cs="Times New Roman"/>
          <w:color w:val="000000"/>
          <w:szCs w:val="24"/>
        </w:rPr>
        <w:t xml:space="preserve"> prirodnim plinom</w:t>
      </w:r>
    </w:p>
    <w:p w:rsidR="007D4A93" w:rsidRPr="00654E3B" w:rsidRDefault="00EF0BEB" w:rsidP="000C6795">
      <w:pPr>
        <w:pStyle w:val="ListParagraph"/>
        <w:numPr>
          <w:ilvl w:val="0"/>
          <w:numId w:val="61"/>
        </w:numPr>
        <w:spacing w:line="240" w:lineRule="auto"/>
        <w:rPr>
          <w:rFonts w:cs="Times New Roman"/>
          <w:color w:val="000000"/>
          <w:szCs w:val="24"/>
        </w:rPr>
      </w:pPr>
      <w:r w:rsidRPr="00654E3B">
        <w:rPr>
          <w:rFonts w:cs="Times New Roman"/>
          <w:color w:val="000000"/>
          <w:szCs w:val="24"/>
        </w:rPr>
        <w:t>površina uslužnog sektora raste, a struktura grijanja po energentima je slična strukturi energenata u sektoru kućanstava dok specifična energija potrebna za grijanje u 2050. godini iznosi 80 kWh/m</w:t>
      </w:r>
      <w:r w:rsidRPr="00654E3B">
        <w:rPr>
          <w:rFonts w:cs="Times New Roman"/>
          <w:color w:val="000000"/>
          <w:szCs w:val="24"/>
          <w:vertAlign w:val="superscript"/>
        </w:rPr>
        <w:t>2</w:t>
      </w:r>
      <w:r w:rsidRPr="00654E3B">
        <w:rPr>
          <w:rFonts w:cs="Times New Roman"/>
          <w:color w:val="000000"/>
          <w:szCs w:val="24"/>
        </w:rPr>
        <w:t xml:space="preserve"> grijane površine. </w:t>
      </w:r>
      <w:bookmarkStart w:id="359" w:name="_Toc436823720"/>
      <w:bookmarkStart w:id="360" w:name="_Toc434968022"/>
    </w:p>
    <w:p w:rsidR="007D4A93" w:rsidRPr="00654E3B" w:rsidRDefault="007D4A93">
      <w:pPr>
        <w:pStyle w:val="ListParagraph"/>
        <w:spacing w:line="240" w:lineRule="auto"/>
        <w:rPr>
          <w:rFonts w:cs="Times New Roman"/>
          <w:color w:val="000000"/>
          <w:szCs w:val="24"/>
        </w:rPr>
      </w:pPr>
    </w:p>
    <w:p w:rsidR="007D4A93" w:rsidRPr="00654E3B" w:rsidRDefault="00EF0BEB">
      <w:pPr>
        <w:pStyle w:val="Heading2"/>
        <w:rPr>
          <w:rFonts w:ascii="Times New Roman" w:hAnsi="Times New Roman" w:cs="Times New Roman"/>
        </w:rPr>
      </w:pPr>
      <w:bookmarkStart w:id="361" w:name="_Toc69810222"/>
      <w:r w:rsidRPr="00654E3B">
        <w:rPr>
          <w:rFonts w:ascii="Times New Roman" w:hAnsi="Times New Roman" w:cs="Times New Roman"/>
        </w:rPr>
        <w:t xml:space="preserve">I.5. </w:t>
      </w:r>
      <w:r w:rsidRPr="00654E3B">
        <w:rPr>
          <w:rFonts w:ascii="Times New Roman" w:hAnsi="Times New Roman" w:cs="Times New Roman"/>
        </w:rPr>
        <w:tab/>
        <w:t>POLJOPRIVREDA</w:t>
      </w:r>
      <w:bookmarkEnd w:id="359"/>
      <w:bookmarkEnd w:id="360"/>
      <w:bookmarkEnd w:id="361"/>
    </w:p>
    <w:p w:rsidR="007D4A93" w:rsidRPr="00654E3B" w:rsidRDefault="007D4A93">
      <w:pPr>
        <w:rPr>
          <w:rFonts w:cs="Times New Roman"/>
        </w:rPr>
      </w:pPr>
    </w:p>
    <w:p w:rsidR="007D4A93" w:rsidRPr="00654E3B" w:rsidRDefault="00EF0BEB">
      <w:pPr>
        <w:rPr>
          <w:rFonts w:cs="Times New Roman"/>
        </w:rPr>
      </w:pPr>
      <w:r w:rsidRPr="00654E3B">
        <w:rPr>
          <w:rFonts w:cs="Times New Roman"/>
        </w:rPr>
        <w:t>Postavljeni model projekcija emisija postavljen je uz korištenje slijedećih pretpostavki:</w:t>
      </w:r>
    </w:p>
    <w:p w:rsidR="007D4A93" w:rsidRPr="00654E3B" w:rsidRDefault="00EF0BEB" w:rsidP="000C6795">
      <w:pPr>
        <w:pStyle w:val="ListParagraph"/>
        <w:numPr>
          <w:ilvl w:val="0"/>
          <w:numId w:val="62"/>
        </w:numPr>
        <w:rPr>
          <w:rFonts w:cs="Times New Roman"/>
        </w:rPr>
      </w:pPr>
      <w:r w:rsidRPr="00654E3B">
        <w:rPr>
          <w:rFonts w:cs="Times New Roman"/>
        </w:rPr>
        <w:t>Projekcije trenda kretanja ulaznih podataka o aktivnosti za stočarsku i biljnu proizvodnju preuzete su iz globalnog FAO izvješća</w:t>
      </w:r>
      <w:r w:rsidRPr="00F01191">
        <w:rPr>
          <w:rStyle w:val="FootnoteReference"/>
          <w:rFonts w:ascii="Times New Roman" w:hAnsi="Times New Roman" w:cs="Times New Roman"/>
        </w:rPr>
        <w:footnoteReference w:id="6"/>
      </w:r>
      <w:r w:rsidRPr="00F01191">
        <w:rPr>
          <w:rFonts w:cs="Times New Roman"/>
        </w:rPr>
        <w:t xml:space="preserve"> „</w:t>
      </w:r>
      <w:r w:rsidRPr="00654E3B">
        <w:rPr>
          <w:rFonts w:cs="Times New Roman"/>
          <w:i/>
        </w:rPr>
        <w:t>Budućnost hrane i poljoprivrede – alternativni putevi do 2050. godine</w:t>
      </w:r>
      <w:r w:rsidRPr="00654E3B">
        <w:rPr>
          <w:rFonts w:cs="Times New Roman"/>
        </w:rPr>
        <w:t xml:space="preserve">“, pri čemu je korišten BAU (eng. </w:t>
      </w:r>
      <w:r w:rsidRPr="00654E3B">
        <w:rPr>
          <w:rFonts w:cs="Times New Roman"/>
          <w:i/>
        </w:rPr>
        <w:t>bussiness as usual</w:t>
      </w:r>
      <w:r w:rsidRPr="00654E3B">
        <w:rPr>
          <w:rFonts w:cs="Times New Roman"/>
        </w:rPr>
        <w:t xml:space="preserve">) scenarij spomenutog izvješća. </w:t>
      </w:r>
    </w:p>
    <w:p w:rsidR="007D4A93" w:rsidRPr="00654E3B" w:rsidRDefault="00EF0BEB" w:rsidP="000C6795">
      <w:pPr>
        <w:pStyle w:val="ListParagraph"/>
        <w:numPr>
          <w:ilvl w:val="0"/>
          <w:numId w:val="62"/>
        </w:numPr>
        <w:rPr>
          <w:rFonts w:cs="Times New Roman"/>
        </w:rPr>
      </w:pPr>
      <w:r w:rsidRPr="00654E3B">
        <w:rPr>
          <w:rFonts w:cs="Times New Roman"/>
        </w:rPr>
        <w:t>Korištenje mineralnih gnojiva dobivenom ekstrapolacijom postojećeg trenda za razdoblje od 2000.do 2016. godine.</w:t>
      </w:r>
    </w:p>
    <w:p w:rsidR="007D4A93" w:rsidRPr="00654E3B" w:rsidRDefault="00EF0BEB" w:rsidP="000C6795">
      <w:pPr>
        <w:pStyle w:val="ListParagraph"/>
        <w:numPr>
          <w:ilvl w:val="0"/>
          <w:numId w:val="62"/>
        </w:numPr>
        <w:rPr>
          <w:rFonts w:cs="Times New Roman"/>
        </w:rPr>
      </w:pPr>
      <w:r w:rsidRPr="00654E3B">
        <w:rPr>
          <w:rFonts w:cs="Times New Roman"/>
        </w:rPr>
        <w:t>Provedba Programa ruralnog razvoja  Republike Hrvatske za razdoblje 2014. – 2020.</w:t>
      </w:r>
    </w:p>
    <w:p w:rsidR="007D4A93" w:rsidRPr="00654E3B" w:rsidRDefault="00EF0BEB" w:rsidP="000C6795">
      <w:pPr>
        <w:pStyle w:val="ListParagraph"/>
        <w:numPr>
          <w:ilvl w:val="0"/>
          <w:numId w:val="62"/>
        </w:numPr>
        <w:rPr>
          <w:rFonts w:cs="Times New Roman"/>
        </w:rPr>
      </w:pPr>
      <w:r w:rsidRPr="00654E3B">
        <w:rPr>
          <w:rFonts w:cs="Times New Roman"/>
        </w:rPr>
        <w:t xml:space="preserve">Manje promjene u sustavu uzgoja stoke i režimu </w:t>
      </w:r>
      <w:r w:rsidR="00DE41D8" w:rsidRPr="00654E3B">
        <w:rPr>
          <w:rFonts w:cs="Times New Roman"/>
        </w:rPr>
        <w:t xml:space="preserve">ishrane </w:t>
      </w:r>
      <w:r w:rsidRPr="00654E3B">
        <w:rPr>
          <w:rFonts w:cs="Times New Roman"/>
        </w:rPr>
        <w:t>(promjene sustava izgnojavanja i genetski napredak, povećanje probavljivosti i kvalitete krmiva).</w:t>
      </w:r>
    </w:p>
    <w:p w:rsidR="007D4A93" w:rsidRPr="00654E3B" w:rsidRDefault="00EF0BEB">
      <w:pPr>
        <w:rPr>
          <w:rFonts w:cs="Times New Roman"/>
        </w:rPr>
      </w:pPr>
      <w:r w:rsidRPr="00654E3B">
        <w:rPr>
          <w:rFonts w:cs="Times New Roman"/>
        </w:rPr>
        <w:t xml:space="preserve">NUR scenarij temeljem gore navedenih politika i mjera zadržava primjenu mineralnih gnojiva (dušika) u tlo na razini koja proizlazi iz trenda utroška mineralnih gnojiva u razdoblju od 2000. do 2017. godine, odnosno postavlja pretpostavku da neće doći do povećanja utroška mineralnih gnojiva </w:t>
      </w:r>
      <w:r w:rsidR="00B90083" w:rsidRPr="00654E3B">
        <w:rPr>
          <w:rFonts w:cs="Times New Roman"/>
        </w:rPr>
        <w:t xml:space="preserve">u skladu s </w:t>
      </w:r>
      <w:r w:rsidRPr="00654E3B">
        <w:rPr>
          <w:rFonts w:cs="Times New Roman"/>
        </w:rPr>
        <w:t>procijenjenim promjenama u biljnoj proizvodnji i stočnoj proizvodnji. Za potrebe detaljnog modeliranja primijenjenog dušika potrebno je uspostaviti sustav realnog praćenja potrošnje mineralnih gnojiva na gospodarstvima, kao i procjene udjela poljoprivrednih površina pod pojedinim usjevom na državnoj razini u sklopu izrade karata tla i studije mogućnosti primjene mjera za smanjenje emisija stakleničkih plinova u sektoru poljoprivreda.</w:t>
      </w:r>
    </w:p>
    <w:p w:rsidR="007D4A93" w:rsidRPr="00654E3B" w:rsidRDefault="007D4A93">
      <w:pPr>
        <w:rPr>
          <w:rFonts w:cs="Times New Roman"/>
        </w:rPr>
      </w:pPr>
    </w:p>
    <w:p w:rsidR="007D4A93" w:rsidRPr="00654E3B" w:rsidRDefault="00EF0BEB">
      <w:pPr>
        <w:pStyle w:val="Heading2"/>
        <w:rPr>
          <w:rFonts w:ascii="Times New Roman" w:hAnsi="Times New Roman" w:cs="Times New Roman"/>
        </w:rPr>
      </w:pPr>
      <w:bookmarkStart w:id="362" w:name="_Toc436823721"/>
      <w:bookmarkStart w:id="363" w:name="_Toc434968023"/>
      <w:bookmarkStart w:id="364" w:name="_Toc69810223"/>
      <w:r w:rsidRPr="00654E3B">
        <w:rPr>
          <w:rFonts w:ascii="Times New Roman" w:hAnsi="Times New Roman" w:cs="Times New Roman"/>
        </w:rPr>
        <w:t xml:space="preserve">I.6. </w:t>
      </w:r>
      <w:r w:rsidRPr="00654E3B">
        <w:rPr>
          <w:rFonts w:ascii="Times New Roman" w:hAnsi="Times New Roman" w:cs="Times New Roman"/>
        </w:rPr>
        <w:tab/>
      </w:r>
      <w:bookmarkEnd w:id="362"/>
      <w:bookmarkEnd w:id="363"/>
      <w:r w:rsidRPr="00654E3B">
        <w:rPr>
          <w:rFonts w:ascii="Times New Roman" w:hAnsi="Times New Roman" w:cs="Times New Roman"/>
        </w:rPr>
        <w:t>OTPAD</w:t>
      </w:r>
      <w:bookmarkEnd w:id="364"/>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NUR scenarij uključuje postojeći pravni okvir Republike Hrvatske i usvojeni pravni okvir EU iz sektora otpad za razdoblje do 2035. godine. Odgoda od </w:t>
      </w:r>
      <w:r w:rsidR="00EE7A3B" w:rsidRPr="00654E3B">
        <w:rPr>
          <w:rFonts w:cs="Times New Roman"/>
        </w:rPr>
        <w:t>pet</w:t>
      </w:r>
      <w:r w:rsidRPr="00654E3B">
        <w:rPr>
          <w:rFonts w:cs="Times New Roman"/>
        </w:rPr>
        <w:t xml:space="preserve"> godina za Republiku Hrvatsku uključena je u </w:t>
      </w:r>
      <w:r w:rsidRPr="00654E3B">
        <w:rPr>
          <w:rFonts w:cs="Times New Roman"/>
        </w:rPr>
        <w:lastRenderedPageBreak/>
        <w:t>projekcije. Za razdoblje nakon 2040. godine korištene su pretpostavke za primjenu mjera temeljene na stručnoj procjeni, sukladno pretpostavkama definiranima usvojenim planskim dokumentima.</w:t>
      </w:r>
    </w:p>
    <w:p w:rsidR="007D4A93" w:rsidRPr="00654E3B" w:rsidRDefault="00EF0BEB">
      <w:pPr>
        <w:rPr>
          <w:rFonts w:cs="Times New Roman"/>
        </w:rPr>
      </w:pPr>
      <w:r w:rsidRPr="00654E3B">
        <w:rPr>
          <w:rFonts w:cs="Times New Roman"/>
        </w:rPr>
        <w:t>NUR scenarij uključuje projekcije emisija iz aktivnosti odlaganja, biološke obrade i spaljivanja krutog otpada te upravljanja otpadnim vodama. Projekcije su provedene na temelju očekivanog razvoja te budućeg stanja parametara za izradu projekcija - količine proizvedenog i odloženog krutog otpada (komunalnog, proizvodnog, mulja od obrade otpadnih voda), udjela organskog dijela krutog otpada, udjela regeneriranog/spaljenog metana te količine kompostiranog organskog otpada. Projekcije emisija temelje se na projekcijama makroekonomskih parametara iz 2018. godine - godišnje stope porasta bruto društvenog proizvoda i smanjenja broja stanovnika.</w:t>
      </w:r>
    </w:p>
    <w:p w:rsidR="007D4A93" w:rsidRPr="00654E3B" w:rsidRDefault="00EF0BEB">
      <w:pPr>
        <w:rPr>
          <w:rFonts w:cs="Times New Roman"/>
        </w:rPr>
      </w:pPr>
      <w:r w:rsidRPr="00654E3B">
        <w:rPr>
          <w:rFonts w:cs="Times New Roman"/>
        </w:rPr>
        <w:t>U izradi projekcija uključene su sljedeće pretpostavke:</w:t>
      </w:r>
    </w:p>
    <w:p w:rsidR="007D4A93" w:rsidRPr="00654E3B" w:rsidRDefault="00EF0BEB" w:rsidP="000C6795">
      <w:pPr>
        <w:pStyle w:val="ListParagraph"/>
        <w:numPr>
          <w:ilvl w:val="0"/>
          <w:numId w:val="63"/>
        </w:numPr>
        <w:spacing w:line="240" w:lineRule="auto"/>
        <w:rPr>
          <w:rFonts w:cs="Times New Roman"/>
        </w:rPr>
      </w:pPr>
      <w:r w:rsidRPr="00654E3B">
        <w:rPr>
          <w:rFonts w:cs="Times New Roman"/>
        </w:rPr>
        <w:t>Odlaganje krutog otpada - smanjenje količine proizvedenog i odloženog krutog otpada zbog primjene mjera definiranih sektorskim zakonodavstvom usklađenim s EU zakonodavstvom. 4. srpnja 2018. godine na snagu su stupila nova EU pravila s pravno obvezujućim ciljevima za recikliranje otpada i smanjenje odlaganja otpada. Republika Hrvatska je dobila mogućnost odgode od pet godina za ispunjavanje navedenih ciljeva, jer je među državama članicama koje su 2013. godine reciklirale manje od 20</w:t>
      </w:r>
      <w:r w:rsidR="00060992" w:rsidRPr="00654E3B">
        <w:rPr>
          <w:rFonts w:cs="Times New Roman"/>
        </w:rPr>
        <w:t xml:space="preserve"> %</w:t>
      </w:r>
      <w:r w:rsidRPr="00654E3B">
        <w:rPr>
          <w:rFonts w:cs="Times New Roman"/>
        </w:rPr>
        <w:t xml:space="preserve"> komunalnog otpada ili odlagale više od 60</w:t>
      </w:r>
      <w:r w:rsidR="00060992" w:rsidRPr="00654E3B">
        <w:rPr>
          <w:rFonts w:cs="Times New Roman"/>
        </w:rPr>
        <w:t xml:space="preserve"> %</w:t>
      </w:r>
      <w:r w:rsidRPr="00654E3B">
        <w:rPr>
          <w:rFonts w:cs="Times New Roman"/>
        </w:rPr>
        <w:t xml:space="preserve"> na odlagalištima. Odgoda od </w:t>
      </w:r>
      <w:r w:rsidR="00EE7A3B" w:rsidRPr="00654E3B">
        <w:rPr>
          <w:rFonts w:cs="Times New Roman"/>
        </w:rPr>
        <w:t>pet</w:t>
      </w:r>
      <w:r w:rsidRPr="00654E3B">
        <w:rPr>
          <w:rFonts w:cs="Times New Roman"/>
        </w:rPr>
        <w:t xml:space="preserve"> godina uključena je u projekcije. </w:t>
      </w:r>
    </w:p>
    <w:p w:rsidR="007D4A93" w:rsidRPr="00654E3B" w:rsidRDefault="00EF0BEB" w:rsidP="000C6795">
      <w:pPr>
        <w:pStyle w:val="ListParagraph"/>
        <w:numPr>
          <w:ilvl w:val="0"/>
          <w:numId w:val="63"/>
        </w:numPr>
        <w:spacing w:line="240" w:lineRule="auto"/>
        <w:rPr>
          <w:rFonts w:cs="Times New Roman"/>
        </w:rPr>
      </w:pPr>
      <w:r w:rsidRPr="00654E3B">
        <w:rPr>
          <w:rFonts w:cs="Times New Roman"/>
        </w:rPr>
        <w:t>Kompostiranje - kontinuirani porast količine otpada koji se obrađuje kompostiranjem zbog primjene mjera definiranih sektorskim zakonodavstvom usklađenim s EU zakonodavstvom. Porast količine otpada koji će se kompostirati ovisi o smanjenju količine odloženog biorazgradivog otpada i udjelu biorazgradivog otpada koji će se obrađivati kompostiranjem i digestijom.</w:t>
      </w:r>
    </w:p>
    <w:p w:rsidR="007D4A93" w:rsidRPr="00654E3B" w:rsidRDefault="00EF0BEB" w:rsidP="000C6795">
      <w:pPr>
        <w:pStyle w:val="ListParagraph"/>
        <w:numPr>
          <w:ilvl w:val="0"/>
          <w:numId w:val="63"/>
        </w:numPr>
        <w:spacing w:line="240" w:lineRule="auto"/>
        <w:rPr>
          <w:rFonts w:cs="Times New Roman"/>
        </w:rPr>
      </w:pPr>
      <w:r w:rsidRPr="00654E3B">
        <w:rPr>
          <w:rFonts w:cs="Times New Roman"/>
        </w:rPr>
        <w:t>Spaljivanje otpada - ne provodi se više spaljivanje bolničkog otpada bez oporabe energije.</w:t>
      </w:r>
    </w:p>
    <w:p w:rsidR="007D4A93" w:rsidRPr="00654E3B" w:rsidRDefault="00EF0BEB" w:rsidP="000C6795">
      <w:pPr>
        <w:pStyle w:val="ListParagraph"/>
        <w:numPr>
          <w:ilvl w:val="0"/>
          <w:numId w:val="63"/>
        </w:numPr>
        <w:spacing w:line="240" w:lineRule="auto"/>
        <w:rPr>
          <w:rFonts w:cs="Times New Roman"/>
        </w:rPr>
      </w:pPr>
      <w:r w:rsidRPr="00654E3B">
        <w:rPr>
          <w:rFonts w:cs="Times New Roman"/>
        </w:rPr>
        <w:t>Upravljanje otpadnim vodama - kontinuirano povećanje količine obrađenih otpadnih voda industrije te smanjenje količine obrađenih otpadnih voda kućanstava i broja stanovnika s individualnim sistemom odvodnje otpadnih voda (septičke jame).</w:t>
      </w:r>
    </w:p>
    <w:p w:rsidR="001C6A8F" w:rsidRPr="00654E3B" w:rsidRDefault="001C6A8F" w:rsidP="00AB40C9">
      <w:pPr>
        <w:pStyle w:val="Heading1"/>
        <w:rPr>
          <w:rFonts w:ascii="Times New Roman" w:hAnsi="Times New Roman" w:cs="Times New Roman"/>
        </w:rPr>
      </w:pPr>
      <w:bookmarkStart w:id="365" w:name="_Toc69810224"/>
      <w:bookmarkStart w:id="366" w:name="_Toc20841329"/>
      <w:bookmarkStart w:id="367" w:name="_Toc20841435"/>
      <w:bookmarkStart w:id="368" w:name="_Toc33417212"/>
      <w:bookmarkEnd w:id="347"/>
      <w:bookmarkEnd w:id="348"/>
      <w:r w:rsidRPr="00654E3B">
        <w:rPr>
          <w:rFonts w:ascii="Times New Roman" w:hAnsi="Times New Roman" w:cs="Times New Roman"/>
        </w:rPr>
        <w:t>PRILOG II.  -  OPIS NISKOUGLJIČNOG SCENARIJA POSTUPNE TRANZICIJE (NU1)</w:t>
      </w:r>
      <w:bookmarkEnd w:id="365"/>
    </w:p>
    <w:p w:rsidR="001C6A8F" w:rsidRPr="00654E3B" w:rsidRDefault="001C6A8F" w:rsidP="00AB40C9">
      <w:pPr>
        <w:keepNext/>
        <w:rPr>
          <w:rFonts w:cs="Times New Roman"/>
        </w:rPr>
      </w:pPr>
    </w:p>
    <w:p w:rsidR="001C6A8F" w:rsidRPr="00654E3B" w:rsidRDefault="001C6A8F" w:rsidP="00AB40C9">
      <w:pPr>
        <w:pStyle w:val="Heading2"/>
        <w:rPr>
          <w:rFonts w:ascii="Times New Roman" w:hAnsi="Times New Roman" w:cs="Times New Roman"/>
        </w:rPr>
      </w:pPr>
      <w:bookmarkStart w:id="369" w:name="_Toc69810225"/>
      <w:r w:rsidRPr="00654E3B">
        <w:rPr>
          <w:rFonts w:ascii="Times New Roman" w:hAnsi="Times New Roman" w:cs="Times New Roman"/>
        </w:rPr>
        <w:t xml:space="preserve">II.1. </w:t>
      </w:r>
      <w:r w:rsidRPr="00654E3B">
        <w:rPr>
          <w:rFonts w:ascii="Times New Roman" w:hAnsi="Times New Roman" w:cs="Times New Roman"/>
        </w:rPr>
        <w:tab/>
        <w:t>PROIZVODNJA, POTROŠNJA, UVOZ I IZVOZ ENERGIJE</w:t>
      </w:r>
      <w:bookmarkEnd w:id="369"/>
    </w:p>
    <w:p w:rsidR="001C6A8F" w:rsidRPr="00654E3B" w:rsidRDefault="001C6A8F" w:rsidP="00AB40C9">
      <w:pPr>
        <w:keepNext/>
        <w:rPr>
          <w:rFonts w:cs="Times New Roman"/>
        </w:rPr>
      </w:pPr>
    </w:p>
    <w:p w:rsidR="001C6A8F" w:rsidRPr="00654E3B" w:rsidRDefault="001C6A8F" w:rsidP="001C6A8F">
      <w:pPr>
        <w:rPr>
          <w:rFonts w:cs="Times New Roman"/>
          <w:u w:val="single"/>
        </w:rPr>
      </w:pPr>
      <w:r w:rsidRPr="00654E3B">
        <w:rPr>
          <w:rFonts w:cs="Times New Roman"/>
          <w:u w:val="single"/>
        </w:rPr>
        <w:t>Neposredna potrošnja energije</w:t>
      </w:r>
    </w:p>
    <w:p w:rsidR="001C6A8F" w:rsidRPr="00654E3B" w:rsidRDefault="001C6A8F" w:rsidP="001C6A8F">
      <w:pPr>
        <w:rPr>
          <w:rFonts w:cs="Times New Roman"/>
        </w:rPr>
      </w:pPr>
      <w:r w:rsidRPr="00654E3B">
        <w:rPr>
          <w:rFonts w:cs="Times New Roman"/>
        </w:rPr>
        <w:t>U Scenariju postupne tranzicije (NU1), neposredna potrošnja energije do 2030. godine stagnira, a zatim se smanjuje za 20</w:t>
      </w:r>
      <w:r w:rsidR="00060992" w:rsidRPr="00654E3B">
        <w:rPr>
          <w:rFonts w:cs="Times New Roman"/>
        </w:rPr>
        <w:t xml:space="preserve"> %</w:t>
      </w:r>
      <w:r w:rsidRPr="00654E3B">
        <w:rPr>
          <w:rFonts w:cs="Times New Roman"/>
        </w:rPr>
        <w:t xml:space="preserve"> do 2050. godine, promatrano u odnosu na sadašnju razinu (2018. godina) neposredne potrošnje energije.</w:t>
      </w:r>
    </w:p>
    <w:p w:rsidR="001C6A8F" w:rsidRPr="00654E3B" w:rsidRDefault="001C6A8F" w:rsidP="001C6A8F">
      <w:pPr>
        <w:rPr>
          <w:rFonts w:cs="Times New Roman"/>
        </w:rPr>
      </w:pPr>
      <w:r w:rsidRPr="00654E3B">
        <w:rPr>
          <w:rFonts w:cs="Times New Roman"/>
        </w:rPr>
        <w:t>Mijenja se struktura utrošenih oblika energije. Očekuje se porast udjela električne energije i vodika, a smanjuje se udio krutih i tekućih fosilnih goriva. Potrošnja prirodnog plina ostaje približno jednaka do 2030. godine i zatim opada za 15</w:t>
      </w:r>
      <w:r w:rsidR="00060992" w:rsidRPr="00654E3B">
        <w:rPr>
          <w:rFonts w:cs="Times New Roman"/>
        </w:rPr>
        <w:t xml:space="preserve"> %</w:t>
      </w:r>
      <w:r w:rsidRPr="00654E3B">
        <w:rPr>
          <w:rFonts w:cs="Times New Roman"/>
        </w:rPr>
        <w:t xml:space="preserve"> do 2050. godine. Ukupni udio fosilnih goriva opada na 53,2</w:t>
      </w:r>
      <w:r w:rsidR="00060992" w:rsidRPr="00654E3B">
        <w:rPr>
          <w:rFonts w:cs="Times New Roman"/>
        </w:rPr>
        <w:t xml:space="preserve"> %</w:t>
      </w:r>
      <w:r w:rsidRPr="00654E3B">
        <w:rPr>
          <w:rFonts w:cs="Times New Roman"/>
        </w:rPr>
        <w:t xml:space="preserve"> u 2030. godini i na 41,0</w:t>
      </w:r>
      <w:r w:rsidR="00060992" w:rsidRPr="00654E3B">
        <w:rPr>
          <w:rFonts w:cs="Times New Roman"/>
        </w:rPr>
        <w:t xml:space="preserve"> %</w:t>
      </w:r>
      <w:r w:rsidRPr="00654E3B">
        <w:rPr>
          <w:rFonts w:cs="Times New Roman"/>
        </w:rPr>
        <w:t xml:space="preserve"> u 2050. godini.</w:t>
      </w:r>
    </w:p>
    <w:p w:rsidR="001C6A8F" w:rsidRPr="00654E3B" w:rsidRDefault="001C6A8F" w:rsidP="001C6A8F">
      <w:pPr>
        <w:rPr>
          <w:rFonts w:cs="Times New Roman"/>
        </w:rPr>
      </w:pPr>
      <w:r w:rsidRPr="00654E3B">
        <w:rPr>
          <w:rFonts w:cs="Times New Roman"/>
        </w:rPr>
        <w:t>Udio neposredne potrošnje energije u industriji zadržat će se na oko 17</w:t>
      </w:r>
      <w:r w:rsidR="00060992" w:rsidRPr="00654E3B">
        <w:rPr>
          <w:rFonts w:cs="Times New Roman"/>
        </w:rPr>
        <w:t xml:space="preserve"> %</w:t>
      </w:r>
      <w:r w:rsidRPr="00654E3B">
        <w:rPr>
          <w:rFonts w:cs="Times New Roman"/>
        </w:rPr>
        <w:t xml:space="preserve"> do 2030. godine, a zatim raste na 19,8</w:t>
      </w:r>
      <w:r w:rsidR="00060992" w:rsidRPr="00654E3B">
        <w:rPr>
          <w:rFonts w:cs="Times New Roman"/>
        </w:rPr>
        <w:t xml:space="preserve"> %</w:t>
      </w:r>
      <w:r w:rsidRPr="00654E3B">
        <w:rPr>
          <w:rFonts w:cs="Times New Roman"/>
        </w:rPr>
        <w:t xml:space="preserve"> u 2050. godini. Očekuje se smanjenje udjela prometa, dok udio ukupne potrošnje sektora opće potrošnje (kućanstva, usluge i poljoprivreda) ostaje približno konstantan.</w:t>
      </w:r>
    </w:p>
    <w:p w:rsidR="001C6A8F" w:rsidRPr="00654E3B" w:rsidRDefault="001C6A8F" w:rsidP="001C6A8F">
      <w:pPr>
        <w:rPr>
          <w:rFonts w:cs="Times New Roman"/>
        </w:rPr>
      </w:pPr>
      <w:r w:rsidRPr="00654E3B">
        <w:rPr>
          <w:rFonts w:cs="Times New Roman"/>
        </w:rPr>
        <w:t>U tablici II.1-1 i tablici II 1-2 prikazane su projekcije neposredne potrošnje energije u NU1 scenariju.</w:t>
      </w:r>
    </w:p>
    <w:p w:rsidR="001C6A8F" w:rsidRPr="00654E3B" w:rsidRDefault="001C6A8F" w:rsidP="001C6A8F">
      <w:pPr>
        <w:rPr>
          <w:rFonts w:cs="Times New Roman"/>
          <w:i/>
        </w:rPr>
      </w:pPr>
      <w:r w:rsidRPr="00654E3B">
        <w:rPr>
          <w:rFonts w:cs="Times New Roman"/>
          <w:i/>
        </w:rPr>
        <w:t>Tablica II.1-1: Neposredna potrošnja energije po gorivima, NU1</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55,4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40,7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26,1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lastRenderedPageBreak/>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1448,0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1297,0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1030,9</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2493,0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2082,4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1266,8</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1097,4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1020,1</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917,5</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1515,6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1660,0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1926,3</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Toplinska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232,7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223,0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197,1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0,004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0,2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15,9</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6852,8</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6333,3</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jc w:val="center"/>
              <w:rPr>
                <w:rFonts w:eastAsia="Times New Roman" w:cs="Times New Roman"/>
                <w:color w:val="000000"/>
                <w:sz w:val="20"/>
                <w:lang w:eastAsia="hr-HR"/>
              </w:rPr>
            </w:pPr>
            <w:r w:rsidRPr="00654E3B">
              <w:rPr>
                <w:rFonts w:eastAsia="Times New Roman" w:cs="Times New Roman"/>
                <w:color w:val="000000"/>
                <w:sz w:val="20"/>
                <w:lang w:eastAsia="hr-HR"/>
              </w:rPr>
              <w:t>5388,7</w:t>
            </w:r>
          </w:p>
        </w:tc>
      </w:tr>
    </w:tbl>
    <w:p w:rsidR="001C6A8F" w:rsidRPr="00654E3B" w:rsidRDefault="001C6A8F" w:rsidP="001C6A8F">
      <w:pPr>
        <w:rPr>
          <w:rFonts w:cs="Times New Roman"/>
          <w:i/>
        </w:rPr>
      </w:pPr>
    </w:p>
    <w:p w:rsidR="001C6A8F" w:rsidRPr="00654E3B" w:rsidRDefault="001C6A8F" w:rsidP="001C6A8F">
      <w:pPr>
        <w:keepNext/>
        <w:rPr>
          <w:rFonts w:cs="Times New Roman"/>
          <w:i/>
        </w:rPr>
      </w:pPr>
      <w:r w:rsidRPr="00654E3B">
        <w:rPr>
          <w:rFonts w:cs="Times New Roman"/>
          <w:i/>
        </w:rPr>
        <w:t>Tablica II.1-2: Neposredna potrošnja energije po granama, NU1</w:t>
      </w:r>
    </w:p>
    <w:tbl>
      <w:tblPr>
        <w:tblW w:w="0" w:type="auto"/>
        <w:tblLayout w:type="fixed"/>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Industrija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1183,9</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1144,3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1065,5</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Promet</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2212,8</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2054,7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1634,7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Opća potrošnja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cs="Times New Roman"/>
                <w:sz w:val="20"/>
              </w:rPr>
              <w:t>3456,1</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cs="Times New Roman"/>
                <w:sz w:val="20"/>
              </w:rPr>
              <w:t>3134,3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cs="Times New Roman"/>
                <w:sz w:val="20"/>
              </w:rPr>
              <w:t>2688,5</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i/>
                <w:iCs/>
                <w:color w:val="000000"/>
                <w:sz w:val="20"/>
                <w:lang w:eastAsia="hr-HR"/>
              </w:rPr>
            </w:pPr>
            <w:r w:rsidRPr="00654E3B">
              <w:rPr>
                <w:rFonts w:eastAsia="Times New Roman" w:cs="Times New Roman"/>
                <w:i/>
                <w:color w:val="000000"/>
                <w:sz w:val="20"/>
                <w:lang w:eastAsia="hr-HR"/>
              </w:rPr>
              <w:t>Kućanstva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2314,9</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1995,6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1632,6</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i/>
                <w:iCs/>
                <w:color w:val="000000"/>
                <w:sz w:val="20"/>
                <w:lang w:eastAsia="hr-HR"/>
              </w:rPr>
            </w:pPr>
            <w:r w:rsidRPr="00654E3B">
              <w:rPr>
                <w:rFonts w:eastAsia="Times New Roman" w:cs="Times New Roman"/>
                <w:i/>
                <w:color w:val="000000"/>
                <w:sz w:val="20"/>
                <w:lang w:eastAsia="hr-HR"/>
              </w:rPr>
              <w:t>Uslužni</w:t>
            </w:r>
            <w:r w:rsidRPr="00654E3B">
              <w:rPr>
                <w:rFonts w:eastAsia="Times New Roman" w:cs="Times New Roman"/>
                <w:i/>
                <w:iCs/>
                <w:color w:val="000000"/>
                <w:sz w:val="20"/>
                <w:lang w:eastAsia="hr-HR"/>
              </w:rPr>
              <w:t xml:space="preserve"> </w:t>
            </w:r>
            <w:r w:rsidRPr="00654E3B">
              <w:rPr>
                <w:rFonts w:eastAsia="Times New Roman" w:cs="Times New Roman"/>
                <w:color w:val="000000"/>
                <w:sz w:val="20"/>
                <w:lang w:eastAsia="hr-HR"/>
              </w:rPr>
              <w:t>sektor</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935,7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944,2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878,7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i/>
                <w:iCs/>
                <w:color w:val="000000"/>
                <w:sz w:val="20"/>
                <w:lang w:eastAsia="hr-HR"/>
              </w:rPr>
            </w:pPr>
            <w:r w:rsidRPr="00654E3B">
              <w:rPr>
                <w:rFonts w:eastAsia="Times New Roman" w:cs="Times New Roman"/>
                <w:i/>
                <w:color w:val="000000"/>
                <w:sz w:val="20"/>
                <w:lang w:eastAsia="hr-HR"/>
              </w:rPr>
              <w:t>Poljoprivreda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205,5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194,5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177,2</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6852,8</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6333,3</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5388,7</w:t>
            </w:r>
          </w:p>
        </w:tc>
      </w:tr>
    </w:tbl>
    <w:p w:rsidR="001C6A8F" w:rsidRPr="00654E3B" w:rsidRDefault="001C6A8F" w:rsidP="001C6A8F">
      <w:pPr>
        <w:rPr>
          <w:rFonts w:cs="Times New Roman"/>
          <w:u w:val="single"/>
        </w:rPr>
      </w:pPr>
    </w:p>
    <w:p w:rsidR="001C6A8F" w:rsidRPr="00654E3B" w:rsidRDefault="001C6A8F" w:rsidP="001C6A8F">
      <w:pPr>
        <w:rPr>
          <w:rFonts w:cs="Times New Roman"/>
        </w:rPr>
      </w:pPr>
      <w:r w:rsidRPr="00654E3B">
        <w:rPr>
          <w:rFonts w:cs="Times New Roman"/>
          <w:u w:val="single"/>
        </w:rPr>
        <w:t>Ukupna potrošnja energije</w:t>
      </w:r>
    </w:p>
    <w:p w:rsidR="001C6A8F" w:rsidRPr="00654E3B" w:rsidRDefault="001C6A8F" w:rsidP="001C6A8F">
      <w:pPr>
        <w:rPr>
          <w:rFonts w:cs="Times New Roman"/>
        </w:rPr>
      </w:pPr>
      <w:r w:rsidRPr="00654E3B">
        <w:rPr>
          <w:rFonts w:cs="Times New Roman"/>
        </w:rPr>
        <w:t>U NU1 scenariju  ukupne potrebe za energijom smanjuju se tijekom cijelog razdoblja. Ukupna potrošnja u 2030. godini je za 1</w:t>
      </w:r>
      <w:r w:rsidR="00060992" w:rsidRPr="00654E3B">
        <w:rPr>
          <w:rFonts w:cs="Times New Roman"/>
        </w:rPr>
        <w:t xml:space="preserve"> %</w:t>
      </w:r>
      <w:r w:rsidRPr="00654E3B">
        <w:rPr>
          <w:rFonts w:cs="Times New Roman"/>
        </w:rPr>
        <w:t xml:space="preserve"> manja u odnosu na današnju razinu, a u 2050. godini je manja za 17</w:t>
      </w:r>
      <w:r w:rsidR="00060992" w:rsidRPr="00654E3B">
        <w:rPr>
          <w:rFonts w:cs="Times New Roman"/>
        </w:rPr>
        <w:t xml:space="preserve"> %</w:t>
      </w:r>
      <w:r w:rsidRPr="00654E3B">
        <w:rPr>
          <w:rFonts w:cs="Times New Roman"/>
        </w:rPr>
        <w:t>.</w:t>
      </w:r>
    </w:p>
    <w:p w:rsidR="001C6A8F" w:rsidRPr="00654E3B" w:rsidRDefault="001C6A8F" w:rsidP="001C6A8F">
      <w:pPr>
        <w:rPr>
          <w:rFonts w:cs="Times New Roman"/>
        </w:rPr>
      </w:pPr>
      <w:r w:rsidRPr="00654E3B">
        <w:rPr>
          <w:rFonts w:cs="Times New Roman"/>
        </w:rPr>
        <w:t>U strukturi oblika energije udio prirodnog plina, krutih i tekućih goriva te električne energije opada. Najveća promjena se očekuje na strani OIE čiji udio raste na 32,0</w:t>
      </w:r>
      <w:r w:rsidR="00060992" w:rsidRPr="00654E3B">
        <w:rPr>
          <w:rFonts w:cs="Times New Roman"/>
        </w:rPr>
        <w:t xml:space="preserve"> %</w:t>
      </w:r>
      <w:r w:rsidRPr="00654E3B">
        <w:rPr>
          <w:rFonts w:cs="Times New Roman"/>
        </w:rPr>
        <w:t xml:space="preserve"> u 2030. godini te na 46,3</w:t>
      </w:r>
      <w:r w:rsidR="00060992" w:rsidRPr="00654E3B">
        <w:rPr>
          <w:rFonts w:cs="Times New Roman"/>
        </w:rPr>
        <w:t xml:space="preserve"> %</w:t>
      </w:r>
      <w:r w:rsidRPr="00654E3B">
        <w:rPr>
          <w:rFonts w:cs="Times New Roman"/>
        </w:rPr>
        <w:t xml:space="preserve"> u 2050. godini.</w:t>
      </w:r>
    </w:p>
    <w:p w:rsidR="001C6A8F" w:rsidRPr="00654E3B" w:rsidRDefault="001C6A8F" w:rsidP="001C6A8F">
      <w:pPr>
        <w:rPr>
          <w:rFonts w:cs="Times New Roman"/>
        </w:rPr>
      </w:pPr>
      <w:r w:rsidRPr="00654E3B">
        <w:rPr>
          <w:rFonts w:cs="Times New Roman"/>
        </w:rPr>
        <w:t>U tablici II.1-3 prikazane su projekcije ukupne potrošnje energije u NU1 scenariju.</w:t>
      </w:r>
    </w:p>
    <w:p w:rsidR="001C6A8F" w:rsidRPr="00654E3B" w:rsidRDefault="001C6A8F" w:rsidP="001C6A8F">
      <w:pPr>
        <w:rPr>
          <w:rFonts w:cs="Times New Roman"/>
          <w:i/>
        </w:rPr>
      </w:pPr>
      <w:r w:rsidRPr="00654E3B">
        <w:rPr>
          <w:rFonts w:cs="Times New Roman"/>
          <w:i/>
        </w:rPr>
        <w:t>Tablica II.1-3: Ukupna potrošnja energije po gorivima, NU1</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214,5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27,7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3092,2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2609,1</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1788,0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2313,3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2229,2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2124,0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2817,6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3272,2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3426,0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335,4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160,2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15,9</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8783,7</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8323,2</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7391,7</w:t>
            </w:r>
          </w:p>
        </w:tc>
      </w:tr>
    </w:tbl>
    <w:p w:rsidR="001C6A8F" w:rsidRPr="00654E3B" w:rsidRDefault="001C6A8F" w:rsidP="001C6A8F">
      <w:pPr>
        <w:rPr>
          <w:rFonts w:cs="Times New Roman"/>
          <w:u w:val="single"/>
        </w:rPr>
      </w:pPr>
      <w:r w:rsidRPr="00654E3B">
        <w:rPr>
          <w:rFonts w:cs="Times New Roman"/>
          <w:u w:val="single"/>
        </w:rPr>
        <w:t>Obnovljivi izvori energije</w:t>
      </w:r>
    </w:p>
    <w:p w:rsidR="001C6A8F" w:rsidRPr="00654E3B" w:rsidRDefault="001C6A8F" w:rsidP="001C6A8F">
      <w:pPr>
        <w:rPr>
          <w:rFonts w:cs="Times New Roman"/>
        </w:rPr>
      </w:pPr>
      <w:r w:rsidRPr="00654E3B">
        <w:rPr>
          <w:rFonts w:cs="Times New Roman"/>
        </w:rPr>
        <w:lastRenderedPageBreak/>
        <w:t>U NU1 scenariju očekuje se snažan porast korištenja energije iz obnovljivih izvora i diversifikacija korištenih izvora energije. Do 2030. korištenje OIE se povećava za 49</w:t>
      </w:r>
      <w:r w:rsidR="00060992" w:rsidRPr="00654E3B">
        <w:rPr>
          <w:rFonts w:cs="Times New Roman"/>
        </w:rPr>
        <w:t xml:space="preserve"> %</w:t>
      </w:r>
      <w:r w:rsidRPr="00654E3B">
        <w:rPr>
          <w:rFonts w:cs="Times New Roman"/>
        </w:rPr>
        <w:t>, a do 2050. godine za 81</w:t>
      </w:r>
      <w:r w:rsidR="00060992" w:rsidRPr="00654E3B">
        <w:rPr>
          <w:rFonts w:cs="Times New Roman"/>
        </w:rPr>
        <w:t xml:space="preserve"> %</w:t>
      </w:r>
      <w:r w:rsidRPr="00654E3B">
        <w:rPr>
          <w:rFonts w:cs="Times New Roman"/>
        </w:rPr>
        <w:t>.</w:t>
      </w:r>
    </w:p>
    <w:p w:rsidR="001C6A8F" w:rsidRPr="00654E3B" w:rsidRDefault="001C6A8F" w:rsidP="001C6A8F">
      <w:pPr>
        <w:keepNext/>
        <w:rPr>
          <w:rFonts w:cs="Times New Roman"/>
        </w:rPr>
      </w:pPr>
      <w:r w:rsidRPr="00654E3B">
        <w:rPr>
          <w:rFonts w:cs="Times New Roman"/>
        </w:rPr>
        <w:t>U tablici II.1-4 prikazane su projekcije potrošnje obnovljivih izvora energije u NU1 scenariju.</w:t>
      </w:r>
    </w:p>
    <w:p w:rsidR="001C6A8F" w:rsidRPr="00654E3B" w:rsidRDefault="001C6A8F" w:rsidP="001C6A8F">
      <w:pPr>
        <w:keepNext/>
        <w:rPr>
          <w:rFonts w:cs="Times New Roman"/>
          <w:i/>
        </w:rPr>
      </w:pPr>
      <w:r w:rsidRPr="00654E3B">
        <w:rPr>
          <w:rFonts w:cs="Times New Roman"/>
          <w:i/>
        </w:rPr>
        <w:t xml:space="preserve">Tablica II.1-4: Projekcije potrošnje obnovljivih izvora energije u NU1 scenariju </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Geotermalna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153,0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374,4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442,6</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Biogoriva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248,3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277,3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193,7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Bioplin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69,5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77,6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34,5</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Kruta biomasa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1292,6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1136,3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957,4</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Energija Sunca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119,7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265,5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413,2</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Energija vjetra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305,1</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476,7</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675,7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Hidroenergija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629,3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662,3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708,9</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2817,6</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3270,2</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3426,0</w:t>
            </w:r>
          </w:p>
        </w:tc>
      </w:tr>
    </w:tbl>
    <w:p w:rsidR="001C6A8F" w:rsidRPr="00654E3B" w:rsidRDefault="001C6A8F" w:rsidP="001C6A8F">
      <w:pPr>
        <w:rPr>
          <w:rFonts w:cs="Times New Roman"/>
          <w:u w:val="single"/>
        </w:rPr>
      </w:pPr>
    </w:p>
    <w:p w:rsidR="001C6A8F" w:rsidRPr="00654E3B" w:rsidRDefault="001C6A8F" w:rsidP="001C6A8F">
      <w:pPr>
        <w:rPr>
          <w:rFonts w:cs="Times New Roman"/>
          <w:u w:val="single"/>
        </w:rPr>
      </w:pPr>
      <w:r w:rsidRPr="00654E3B">
        <w:rPr>
          <w:rFonts w:cs="Times New Roman"/>
          <w:u w:val="single"/>
        </w:rPr>
        <w:t>Proizvodnja električne energije i topline</w:t>
      </w:r>
    </w:p>
    <w:p w:rsidR="001C6A8F" w:rsidRPr="00654E3B" w:rsidRDefault="001C6A8F" w:rsidP="001C6A8F">
      <w:pPr>
        <w:rPr>
          <w:rFonts w:cs="Times New Roman"/>
        </w:rPr>
      </w:pPr>
      <w:r w:rsidRPr="00654E3B">
        <w:rPr>
          <w:rFonts w:cs="Times New Roman"/>
        </w:rPr>
        <w:t>U NU1 scenariju očekuje se povećanje domaće proizvodnje i značajna promjena u strukturi proizvodnje električne energije. Povećava se udio obnovljivih izvora energije, a smanjuje udio proizvodnje termoelektrana (općenito – termoelektrane, javne toplane i industrijske kogeneracije). Do kraja promatranog razdoblja sve potrebne količine električne energije mogle bi se proizvesti iz domaćih elektrana, ali je moguća razmjena sa susjednim sustavima (tj. neto uvoz je jednak nuli).</w:t>
      </w:r>
    </w:p>
    <w:p w:rsidR="001C6A8F" w:rsidRPr="00654E3B" w:rsidRDefault="001C6A8F" w:rsidP="001C6A8F">
      <w:pPr>
        <w:rPr>
          <w:rFonts w:cs="Times New Roman"/>
        </w:rPr>
      </w:pPr>
      <w:r w:rsidRPr="00654E3B">
        <w:rPr>
          <w:rFonts w:cs="Times New Roman"/>
        </w:rPr>
        <w:t xml:space="preserve">U NU1 scenariju ukupna snaga elektrana raste na 6,57 GW u 2030. godini, odnosno na 10,3 GW u 2050. godini. Prosječno je godišnje potrebno izgraditi oko 260 MW novih elektrana. </w:t>
      </w:r>
    </w:p>
    <w:p w:rsidR="001C6A8F" w:rsidRPr="00654E3B" w:rsidRDefault="001C6A8F" w:rsidP="001C6A8F">
      <w:pPr>
        <w:rPr>
          <w:rFonts w:cs="Times New Roman"/>
        </w:rPr>
      </w:pPr>
      <w:r w:rsidRPr="00654E3B">
        <w:rPr>
          <w:rFonts w:cs="Times New Roman"/>
        </w:rPr>
        <w:t>U NU1 do kraja razdoblja pretpostavljen je izlazak iz pogona NE Krško te postojećih jedinica na lokaciji Plomin. Nema izgradnje novih TE na ugljen.</w:t>
      </w:r>
    </w:p>
    <w:p w:rsidR="001C6A8F" w:rsidRPr="00654E3B" w:rsidRDefault="001C6A8F" w:rsidP="001C6A8F">
      <w:pPr>
        <w:rPr>
          <w:rFonts w:cs="Times New Roman"/>
        </w:rPr>
      </w:pPr>
      <w:r w:rsidRPr="00654E3B">
        <w:rPr>
          <w:rFonts w:cs="Times New Roman"/>
        </w:rPr>
        <w:t>U tablici II.1-5 prikazane su projekcije proizvodnje električne energije u NU1 scenariju.</w:t>
      </w:r>
    </w:p>
    <w:p w:rsidR="001C6A8F" w:rsidRPr="00654E3B" w:rsidRDefault="001C6A8F" w:rsidP="001C6A8F">
      <w:pPr>
        <w:rPr>
          <w:rFonts w:cs="Times New Roman"/>
          <w:i/>
        </w:rPr>
      </w:pPr>
      <w:r w:rsidRPr="00654E3B">
        <w:rPr>
          <w:rFonts w:cs="Times New Roman"/>
          <w:i/>
        </w:rPr>
        <w:t xml:space="preserve">Tablica II.1-5: Projekcije proizvodnje električne energije u NU1 scenariju </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Industrijske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320,3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280,4</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239,8</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Javne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3508,0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3971,5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3199,7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Termoelektrane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799,5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160,3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1951,9</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Geotermalne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128,8</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365,8</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427,8</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Sunčane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1013,3</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2374,6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3624,4</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Vjetroelektrane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3548,8</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5544,6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7858,9</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Hidroelektrane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7319,2</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7702,5</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8244,3</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16637,9</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20399,6</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25546,7</w:t>
            </w:r>
          </w:p>
        </w:tc>
      </w:tr>
    </w:tbl>
    <w:p w:rsidR="001C6A8F" w:rsidRPr="00654E3B" w:rsidRDefault="001C6A8F" w:rsidP="001C6A8F">
      <w:pPr>
        <w:rPr>
          <w:rFonts w:cs="Times New Roman"/>
          <w:u w:val="single"/>
        </w:rPr>
      </w:pPr>
    </w:p>
    <w:p w:rsidR="001C6A8F" w:rsidRPr="00654E3B" w:rsidRDefault="001C6A8F" w:rsidP="001C6A8F">
      <w:pPr>
        <w:keepNext/>
        <w:rPr>
          <w:rFonts w:cs="Times New Roman"/>
          <w:u w:val="single"/>
        </w:rPr>
      </w:pPr>
      <w:r w:rsidRPr="00654E3B">
        <w:rPr>
          <w:rFonts w:cs="Times New Roman"/>
          <w:u w:val="single"/>
        </w:rPr>
        <w:lastRenderedPageBreak/>
        <w:t>Proizvodnja i uvoz energije</w:t>
      </w:r>
    </w:p>
    <w:p w:rsidR="001C6A8F" w:rsidRPr="00654E3B" w:rsidRDefault="001C6A8F" w:rsidP="001C6A8F">
      <w:pPr>
        <w:keepNext/>
        <w:rPr>
          <w:rFonts w:cs="Times New Roman"/>
        </w:rPr>
      </w:pPr>
      <w:r w:rsidRPr="00654E3B">
        <w:rPr>
          <w:rFonts w:cs="Times New Roman"/>
        </w:rPr>
        <w:t>U NU1 scenariju udio domaće proizvodnje energije u ukupnoj potrošnji energije kontinuirano raste prema kraju razdoblja što se objašnjava smanjenjem ukupnih potreba za energijom: zbog mjera energetske učinkovitosti – obnova fonda zgrada i prelaska na druge oblike energije (npr. električna energija u prometu). Istovremeno se povećava proizvodnja iz OIE, i unatoč opadanju proizvodnje fosilnih goriva, vlastita opskrbljenost raste na 55,8</w:t>
      </w:r>
      <w:r w:rsidR="00060992" w:rsidRPr="00654E3B">
        <w:rPr>
          <w:rFonts w:cs="Times New Roman"/>
        </w:rPr>
        <w:t xml:space="preserve"> %</w:t>
      </w:r>
      <w:r w:rsidRPr="00654E3B">
        <w:rPr>
          <w:rFonts w:cs="Times New Roman"/>
        </w:rPr>
        <w:t xml:space="preserve"> u 2030. godini, da bi se nakon toga spustila na 51,7 </w:t>
      </w:r>
      <w:r w:rsidR="00060992" w:rsidRPr="00654E3B">
        <w:rPr>
          <w:rFonts w:cs="Times New Roman"/>
        </w:rPr>
        <w:t xml:space="preserve"> %</w:t>
      </w:r>
      <w:r w:rsidRPr="00654E3B">
        <w:rPr>
          <w:rFonts w:cs="Times New Roman"/>
        </w:rPr>
        <w:t xml:space="preserve"> u 2050. godini.</w:t>
      </w:r>
    </w:p>
    <w:p w:rsidR="001C6A8F" w:rsidRPr="00654E3B" w:rsidRDefault="001C6A8F" w:rsidP="001C6A8F">
      <w:pPr>
        <w:rPr>
          <w:rFonts w:cs="Times New Roman"/>
        </w:rPr>
      </w:pPr>
      <w:r w:rsidRPr="00654E3B">
        <w:rPr>
          <w:rFonts w:cs="Times New Roman"/>
        </w:rPr>
        <w:t>U tablici II.1-6 prikazane su projekcije proizvodnje i uvoza energije u NU1 scenariju.</w:t>
      </w:r>
    </w:p>
    <w:p w:rsidR="001C6A8F" w:rsidRPr="00654E3B" w:rsidRDefault="001C6A8F" w:rsidP="001C6A8F">
      <w:pPr>
        <w:rPr>
          <w:rFonts w:cs="Times New Roman"/>
          <w:i/>
        </w:rPr>
      </w:pPr>
      <w:r w:rsidRPr="00654E3B">
        <w:rPr>
          <w:rFonts w:cs="Times New Roman"/>
          <w:i/>
        </w:rPr>
        <w:t xml:space="preserve">Tablica II.1-6: Projekcije proizvodnje i uvoza energije u NU1 scenariju </w:t>
      </w:r>
    </w:p>
    <w:tbl>
      <w:tblPr>
        <w:tblW w:w="7086" w:type="dxa"/>
        <w:tblLook w:val="04A0" w:firstRow="1" w:lastRow="0" w:firstColumn="1" w:lastColumn="0" w:noHBand="0" w:noVBand="1"/>
      </w:tblPr>
      <w:tblGrid>
        <w:gridCol w:w="2835"/>
        <w:gridCol w:w="1417"/>
        <w:gridCol w:w="1417"/>
        <w:gridCol w:w="1417"/>
      </w:tblGrid>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Domaća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4922,0</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4700,6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3824,7</w:t>
            </w:r>
          </w:p>
        </w:tc>
      </w:tr>
      <w:tr w:rsidR="001C6A8F" w:rsidRPr="00654E3B" w:rsidTr="00C16D4C">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Uvozna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3861,6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3622,6</w:t>
            </w:r>
          </w:p>
        </w:tc>
        <w:tc>
          <w:tcPr>
            <w:tcW w:w="1417" w:type="dxa"/>
            <w:tcBorders>
              <w:top w:val="none" w:sz="4" w:space="0" w:color="000000"/>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3566,9</w:t>
            </w:r>
          </w:p>
        </w:tc>
      </w:tr>
      <w:tr w:rsidR="001C6A8F" w:rsidRPr="00654E3B" w:rsidTr="00C16D4C">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C6A8F" w:rsidRPr="00654E3B" w:rsidRDefault="001C6A8F" w:rsidP="00C16D4C">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8783,7</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8323,2</w:t>
            </w:r>
          </w:p>
        </w:tc>
        <w:tc>
          <w:tcPr>
            <w:tcW w:w="1417" w:type="dxa"/>
            <w:tcBorders>
              <w:top w:val="single" w:sz="4" w:space="0" w:color="auto"/>
              <w:left w:val="none" w:sz="4" w:space="0" w:color="000000"/>
              <w:bottom w:val="single" w:sz="4" w:space="0" w:color="auto"/>
              <w:right w:val="single" w:sz="4" w:space="0" w:color="auto"/>
            </w:tcBorders>
            <w:noWrap/>
            <w:vAlign w:val="center"/>
          </w:tcPr>
          <w:p w:rsidR="001C6A8F" w:rsidRPr="00654E3B" w:rsidRDefault="001C6A8F" w:rsidP="00C16D4C">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7391,7</w:t>
            </w:r>
          </w:p>
        </w:tc>
      </w:tr>
    </w:tbl>
    <w:p w:rsidR="001C6A8F" w:rsidRPr="00654E3B" w:rsidRDefault="001C6A8F" w:rsidP="001C6A8F">
      <w:pPr>
        <w:rPr>
          <w:rFonts w:cs="Times New Roman"/>
        </w:rPr>
      </w:pPr>
    </w:p>
    <w:p w:rsidR="001C6A8F" w:rsidRPr="00654E3B" w:rsidRDefault="001C6A8F" w:rsidP="001C6A8F">
      <w:pPr>
        <w:pStyle w:val="Heading2"/>
        <w:rPr>
          <w:rFonts w:ascii="Times New Roman" w:hAnsi="Times New Roman" w:cs="Times New Roman"/>
        </w:rPr>
      </w:pPr>
      <w:bookmarkStart w:id="370" w:name="_Toc69810226"/>
      <w:r w:rsidRPr="00654E3B">
        <w:rPr>
          <w:rFonts w:ascii="Times New Roman" w:hAnsi="Times New Roman" w:cs="Times New Roman"/>
        </w:rPr>
        <w:t xml:space="preserve">II.2. </w:t>
      </w:r>
      <w:r w:rsidRPr="00654E3B">
        <w:rPr>
          <w:rFonts w:ascii="Times New Roman" w:hAnsi="Times New Roman" w:cs="Times New Roman"/>
        </w:rPr>
        <w:tab/>
        <w:t>INDUSTRIJA</w:t>
      </w:r>
      <w:bookmarkEnd w:id="370"/>
    </w:p>
    <w:p w:rsidR="001C6A8F" w:rsidRPr="00654E3B" w:rsidRDefault="001C6A8F" w:rsidP="001C6A8F">
      <w:pPr>
        <w:pStyle w:val="NormalWeb"/>
        <w:ind w:hanging="705"/>
        <w:rPr>
          <w:rFonts w:eastAsia="Times New Roman" w:cs="Times New Roman"/>
          <w:lang w:eastAsia="hr-HR"/>
        </w:rPr>
      </w:pPr>
    </w:p>
    <w:p w:rsidR="001C6A8F" w:rsidRPr="00654E3B" w:rsidRDefault="001C6A8F" w:rsidP="001C6A8F">
      <w:pPr>
        <w:pStyle w:val="NormalWeb"/>
        <w:rPr>
          <w:rFonts w:eastAsia="MS Mincho" w:cs="Times New Roman"/>
          <w:lang w:eastAsia="hr-HR"/>
        </w:rPr>
      </w:pPr>
      <w:r w:rsidRPr="00654E3B">
        <w:rPr>
          <w:rFonts w:eastAsia="MS Mincho" w:cs="Times New Roman"/>
          <w:lang w:eastAsia="hr-HR"/>
        </w:rPr>
        <w:t>Scenarij uključuje primjenu troškovno-učinkovitih mjera za smanjenje emisija stakleničkih plinova iz potrošnje energije po industrijskim granama i procesnih emisija u proizvodnji cementa, te smanjenje emisije hlapljivih organskih spojeva, kontroliranih tvari i fluoriranih stakleničkih plinova.</w:t>
      </w:r>
    </w:p>
    <w:p w:rsidR="001C6A8F" w:rsidRPr="00654E3B" w:rsidRDefault="001C6A8F" w:rsidP="001C6A8F">
      <w:pPr>
        <w:pStyle w:val="NormalWeb"/>
        <w:rPr>
          <w:rFonts w:eastAsia="MS Mincho" w:cs="Times New Roman"/>
          <w:lang w:eastAsia="hr-HR"/>
        </w:rPr>
      </w:pPr>
      <w:r w:rsidRPr="00654E3B">
        <w:rPr>
          <w:rFonts w:eastAsia="MS Mincho" w:cs="Times New Roman"/>
          <w:lang w:eastAsia="hr-HR"/>
        </w:rPr>
        <w:t>Prerađivačka industrija</w:t>
      </w:r>
    </w:p>
    <w:p w:rsidR="001C6A8F" w:rsidRPr="00654E3B" w:rsidRDefault="001C6A8F" w:rsidP="001C6A8F">
      <w:pPr>
        <w:pStyle w:val="NormalWeb"/>
        <w:rPr>
          <w:rFonts w:eastAsia="MS Mincho" w:cs="Times New Roman"/>
          <w:lang w:eastAsia="hr-HR"/>
        </w:rPr>
      </w:pPr>
      <w:r w:rsidRPr="00654E3B">
        <w:rPr>
          <w:rFonts w:eastAsia="MS Mincho" w:cs="Times New Roman"/>
          <w:lang w:eastAsia="hr-HR"/>
        </w:rPr>
        <w:t>Mjere za smanjenje emisija stakleničkih plinova iz potrošnje energije u industriji uključuju:</w:t>
      </w:r>
    </w:p>
    <w:p w:rsidR="001C6A8F" w:rsidRPr="00654E3B" w:rsidRDefault="001C6A8F" w:rsidP="001C6A8F">
      <w:pPr>
        <w:pStyle w:val="NormalWeb"/>
        <w:numPr>
          <w:ilvl w:val="0"/>
          <w:numId w:val="64"/>
        </w:numPr>
        <w:rPr>
          <w:rFonts w:eastAsia="MS Mincho" w:cs="Times New Roman"/>
          <w:lang w:eastAsia="hr-HR"/>
        </w:rPr>
      </w:pPr>
      <w:r w:rsidRPr="00654E3B">
        <w:rPr>
          <w:rFonts w:eastAsia="MS Mincho" w:cs="Times New Roman"/>
          <w:lang w:eastAsia="hr-HR"/>
        </w:rPr>
        <w:t>povećanje energetske učinkovitosti</w:t>
      </w:r>
    </w:p>
    <w:p w:rsidR="001C6A8F" w:rsidRPr="00654E3B" w:rsidRDefault="001C6A8F" w:rsidP="001C6A8F">
      <w:pPr>
        <w:pStyle w:val="NormalWeb"/>
        <w:numPr>
          <w:ilvl w:val="0"/>
          <w:numId w:val="64"/>
        </w:numPr>
        <w:rPr>
          <w:rFonts w:eastAsia="MS Mincho" w:cs="Times New Roman"/>
          <w:lang w:eastAsia="hr-HR"/>
        </w:rPr>
      </w:pPr>
      <w:r w:rsidRPr="00654E3B">
        <w:rPr>
          <w:rFonts w:eastAsia="MS Mincho" w:cs="Times New Roman"/>
          <w:lang w:eastAsia="hr-HR"/>
        </w:rPr>
        <w:t>zamjenu energenata u industrijskim kogeneracijama/toplanama</w:t>
      </w:r>
    </w:p>
    <w:p w:rsidR="001C6A8F" w:rsidRPr="00654E3B" w:rsidRDefault="001C6A8F" w:rsidP="001C6A8F">
      <w:pPr>
        <w:pStyle w:val="NormalWeb"/>
        <w:numPr>
          <w:ilvl w:val="0"/>
          <w:numId w:val="64"/>
        </w:numPr>
        <w:rPr>
          <w:rFonts w:eastAsia="MS Mincho" w:cs="Times New Roman"/>
          <w:lang w:eastAsia="hr-HR"/>
        </w:rPr>
      </w:pPr>
      <w:r w:rsidRPr="00654E3B">
        <w:rPr>
          <w:rFonts w:eastAsia="MS Mincho" w:cs="Times New Roman"/>
          <w:lang w:eastAsia="hr-HR"/>
        </w:rPr>
        <w:t>upotrebu biogoriva u vancestovnim vozilima.</w:t>
      </w:r>
    </w:p>
    <w:p w:rsidR="001C6A8F" w:rsidRPr="00654E3B" w:rsidRDefault="001C6A8F" w:rsidP="001C6A8F">
      <w:pPr>
        <w:pStyle w:val="NormalWeb"/>
        <w:rPr>
          <w:rFonts w:eastAsia="MS Mincho" w:cs="Times New Roman"/>
          <w:lang w:eastAsia="hr-HR"/>
        </w:rPr>
      </w:pPr>
      <w:r w:rsidRPr="00654E3B">
        <w:rPr>
          <w:rFonts w:eastAsia="MS Mincho" w:cs="Times New Roman"/>
          <w:lang w:eastAsia="hr-HR"/>
        </w:rPr>
        <w:t>Procesne mjere za smanjenje emisija stakleničkih plinova iz industrijskih procesa:</w:t>
      </w:r>
    </w:p>
    <w:p w:rsidR="001C6A8F" w:rsidRPr="00654E3B" w:rsidRDefault="001C6A8F" w:rsidP="001C6A8F">
      <w:pPr>
        <w:pStyle w:val="NormalWeb"/>
        <w:numPr>
          <w:ilvl w:val="0"/>
          <w:numId w:val="65"/>
        </w:numPr>
        <w:rPr>
          <w:rFonts w:eastAsia="MS Mincho" w:cs="Times New Roman"/>
          <w:lang w:eastAsia="hr-HR"/>
        </w:rPr>
      </w:pPr>
      <w:r w:rsidRPr="00654E3B">
        <w:rPr>
          <w:rFonts w:eastAsia="MS Mincho" w:cs="Times New Roman"/>
          <w:lang w:eastAsia="hr-HR"/>
        </w:rPr>
        <w:t>postupno smanjenje udjela klinkera u proizvodnji cementa (u 2030. udio iznosi 65</w:t>
      </w:r>
      <w:r w:rsidR="00060992" w:rsidRPr="00654E3B">
        <w:rPr>
          <w:rFonts w:eastAsia="MS Mincho" w:cs="Times New Roman"/>
          <w:lang w:eastAsia="hr-HR"/>
        </w:rPr>
        <w:t xml:space="preserve"> %</w:t>
      </w:r>
      <w:r w:rsidRPr="00654E3B">
        <w:rPr>
          <w:rFonts w:eastAsia="MS Mincho" w:cs="Times New Roman"/>
          <w:lang w:eastAsia="hr-HR"/>
        </w:rPr>
        <w:t>, a u 2050. 50</w:t>
      </w:r>
      <w:r w:rsidR="00060992" w:rsidRPr="00654E3B">
        <w:rPr>
          <w:rFonts w:eastAsia="MS Mincho" w:cs="Times New Roman"/>
          <w:lang w:eastAsia="hr-HR"/>
        </w:rPr>
        <w:t xml:space="preserve"> %</w:t>
      </w:r>
      <w:r w:rsidRPr="00654E3B">
        <w:rPr>
          <w:rFonts w:eastAsia="MS Mincho" w:cs="Times New Roman"/>
          <w:lang w:eastAsia="hr-HR"/>
        </w:rPr>
        <w:t>).</w:t>
      </w:r>
    </w:p>
    <w:p w:rsidR="001C6A8F" w:rsidRPr="00654E3B" w:rsidRDefault="001C6A8F" w:rsidP="001C6A8F">
      <w:pPr>
        <w:rPr>
          <w:rFonts w:cs="Times New Roman"/>
          <w:u w:val="single"/>
        </w:rPr>
      </w:pPr>
      <w:r w:rsidRPr="00654E3B">
        <w:rPr>
          <w:rFonts w:cs="Times New Roman"/>
          <w:u w:val="single"/>
        </w:rPr>
        <w:t>Uporaba zamjenskih tvari za tvari koje oštećuju ozonski sloj</w:t>
      </w:r>
    </w:p>
    <w:p w:rsidR="001C6A8F" w:rsidRPr="00654E3B" w:rsidRDefault="001C6A8F" w:rsidP="001C6A8F">
      <w:pPr>
        <w:rPr>
          <w:rFonts w:cs="Times New Roman"/>
        </w:rPr>
      </w:pPr>
      <w:r w:rsidRPr="00654E3B">
        <w:rPr>
          <w:rFonts w:cs="Times New Roman"/>
        </w:rPr>
        <w:t>Scenarij NU1 uključuje intenzivnije smanjenje fluoriranih stakleničkih plinova dostupnih na tržištu nakon 2030. godine, u odnosu na NUR scenarij, sukladno stručnoj procjeni temeljenoj na nastavku trenda smanjenja fluoriranih stakleničkih plinova. U scenarij NU1 uključene su pretpostavke o broju vozila, što je povezano sa smanjenjem emisija fluoriranih stakleničkih plinova iz mobilnih sustava za klimatiziranje.</w:t>
      </w:r>
      <w:r w:rsidRPr="00654E3B">
        <w:rPr>
          <w:rFonts w:eastAsia="MS Mincho" w:cs="Times New Roman"/>
          <w:szCs w:val="24"/>
          <w:lang w:eastAsia="ja-JP"/>
        </w:rPr>
        <w:t xml:space="preserve"> O</w:t>
      </w:r>
      <w:r w:rsidRPr="00654E3B">
        <w:rPr>
          <w:rFonts w:cs="Times New Roman"/>
        </w:rPr>
        <w:t>graničavanje mogućnosti naknadne ugradnje klimatizacijske opreme oblikovane da sadrži fluorirane stakleničke plinove s potencijalom globalnog zagrijavanja iznad 150 u motorna vozila temeljena je na stručnoj procjeni, sukladno analizi grupe zemalja sličnih nacionalnih karakteristika.</w:t>
      </w:r>
    </w:p>
    <w:p w:rsidR="001C6A8F" w:rsidRPr="00654E3B" w:rsidRDefault="001C6A8F" w:rsidP="001C6A8F">
      <w:pPr>
        <w:pStyle w:val="Heading2"/>
        <w:rPr>
          <w:rFonts w:ascii="Times New Roman" w:hAnsi="Times New Roman" w:cs="Times New Roman"/>
        </w:rPr>
      </w:pPr>
      <w:bookmarkStart w:id="371" w:name="_Toc69810227"/>
      <w:r w:rsidRPr="00654E3B">
        <w:rPr>
          <w:rFonts w:ascii="Times New Roman" w:hAnsi="Times New Roman" w:cs="Times New Roman"/>
        </w:rPr>
        <w:t xml:space="preserve">II.3. </w:t>
      </w:r>
      <w:r w:rsidRPr="00654E3B">
        <w:rPr>
          <w:rFonts w:ascii="Times New Roman" w:hAnsi="Times New Roman" w:cs="Times New Roman"/>
        </w:rPr>
        <w:tab/>
        <w:t>PROMET</w:t>
      </w:r>
      <w:bookmarkEnd w:id="371"/>
    </w:p>
    <w:p w:rsidR="001C6A8F" w:rsidRPr="00654E3B" w:rsidRDefault="001C6A8F" w:rsidP="001C6A8F">
      <w:pPr>
        <w:keepNext/>
        <w:rPr>
          <w:rFonts w:cs="Times New Roman"/>
        </w:rPr>
      </w:pPr>
    </w:p>
    <w:p w:rsidR="001C6A8F" w:rsidRPr="00654E3B" w:rsidRDefault="001C6A8F" w:rsidP="001C6A8F">
      <w:pPr>
        <w:keepNext/>
        <w:rPr>
          <w:rFonts w:cs="Times New Roman"/>
        </w:rPr>
      </w:pPr>
      <w:r w:rsidRPr="00654E3B">
        <w:rPr>
          <w:rFonts w:cs="Times New Roman"/>
        </w:rPr>
        <w:t xml:space="preserve">U sektoru prometa uključene su sljedeće pretpostavke i mjere u NU1 scenariju: </w:t>
      </w:r>
    </w:p>
    <w:p w:rsidR="001C6A8F" w:rsidRPr="00654E3B" w:rsidRDefault="001C6A8F" w:rsidP="001C6A8F">
      <w:pPr>
        <w:pStyle w:val="ListParagraph"/>
        <w:keepNext/>
        <w:numPr>
          <w:ilvl w:val="0"/>
          <w:numId w:val="66"/>
        </w:numPr>
        <w:spacing w:line="240" w:lineRule="auto"/>
        <w:rPr>
          <w:rFonts w:cs="Times New Roman"/>
        </w:rPr>
      </w:pPr>
      <w:r w:rsidRPr="00654E3B">
        <w:rPr>
          <w:rFonts w:cs="Times New Roman"/>
        </w:rPr>
        <w:t>porast udjela električnih vozila na 35</w:t>
      </w:r>
      <w:r w:rsidR="00060992" w:rsidRPr="00654E3B">
        <w:rPr>
          <w:rFonts w:cs="Times New Roman"/>
        </w:rPr>
        <w:t xml:space="preserve"> %</w:t>
      </w:r>
      <w:r w:rsidRPr="00654E3B">
        <w:rPr>
          <w:rFonts w:cs="Times New Roman"/>
        </w:rPr>
        <w:t xml:space="preserve"> od ukupnog broja automobila u 2050. godini, odnosno 762.700 električnih vozila u 2050. godini</w:t>
      </w:r>
    </w:p>
    <w:p w:rsidR="001C6A8F" w:rsidRPr="00654E3B" w:rsidRDefault="001C6A8F" w:rsidP="001C6A8F">
      <w:pPr>
        <w:pStyle w:val="ListParagraph"/>
        <w:keepNext/>
        <w:numPr>
          <w:ilvl w:val="0"/>
          <w:numId w:val="66"/>
        </w:numPr>
        <w:spacing w:line="240" w:lineRule="auto"/>
        <w:rPr>
          <w:rFonts w:cs="Times New Roman"/>
        </w:rPr>
      </w:pPr>
      <w:r w:rsidRPr="00654E3B">
        <w:rPr>
          <w:rFonts w:cs="Times New Roman"/>
        </w:rPr>
        <w:t>porast broja hibridnih i plug-in hibridnih vozila na 20</w:t>
      </w:r>
      <w:r w:rsidR="00060992" w:rsidRPr="00654E3B">
        <w:rPr>
          <w:rFonts w:cs="Times New Roman"/>
        </w:rPr>
        <w:t xml:space="preserve"> %</w:t>
      </w:r>
      <w:r w:rsidRPr="00654E3B">
        <w:rPr>
          <w:rFonts w:cs="Times New Roman"/>
        </w:rPr>
        <w:t xml:space="preserve"> (6</w:t>
      </w:r>
      <w:r w:rsidR="00060992" w:rsidRPr="00654E3B">
        <w:rPr>
          <w:rFonts w:cs="Times New Roman"/>
        </w:rPr>
        <w:t xml:space="preserve"> %</w:t>
      </w:r>
      <w:r w:rsidRPr="00654E3B">
        <w:rPr>
          <w:rFonts w:cs="Times New Roman"/>
        </w:rPr>
        <w:t xml:space="preserve"> hibridnih i 14</w:t>
      </w:r>
      <w:r w:rsidR="00060992" w:rsidRPr="00654E3B">
        <w:rPr>
          <w:rFonts w:cs="Times New Roman"/>
        </w:rPr>
        <w:t xml:space="preserve"> %</w:t>
      </w:r>
      <w:r w:rsidRPr="00654E3B">
        <w:rPr>
          <w:rFonts w:cs="Times New Roman"/>
        </w:rPr>
        <w:t xml:space="preserve"> plug-in hibridnih) od ukupnog broja osobnih vozila do 2050. godine, čime bi broj hibridnih i plug-in hibridnih </w:t>
      </w:r>
      <w:r w:rsidRPr="00654E3B">
        <w:rPr>
          <w:rFonts w:cs="Times New Roman"/>
        </w:rPr>
        <w:lastRenderedPageBreak/>
        <w:t>vozila u 2030. godini iznosio oko 70.000, a u 2050. godini broj vozila za obadvije kategorije bi iznosio ukupno 449.000 vozila.</w:t>
      </w:r>
    </w:p>
    <w:p w:rsidR="001C6A8F" w:rsidRPr="00654E3B" w:rsidRDefault="001C6A8F" w:rsidP="001C6A8F">
      <w:pPr>
        <w:pStyle w:val="ListParagraph"/>
        <w:numPr>
          <w:ilvl w:val="0"/>
          <w:numId w:val="66"/>
        </w:numPr>
        <w:spacing w:line="240" w:lineRule="auto"/>
        <w:rPr>
          <w:rFonts w:cs="Times New Roman"/>
        </w:rPr>
      </w:pPr>
      <w:r w:rsidRPr="00654E3B">
        <w:rPr>
          <w:rFonts w:cs="Times New Roman"/>
        </w:rPr>
        <w:t>porast broja vozila koja koriste vodik nakon 2030. godine na 1,4</w:t>
      </w:r>
      <w:r w:rsidR="00060992" w:rsidRPr="00654E3B">
        <w:rPr>
          <w:rFonts w:cs="Times New Roman"/>
        </w:rPr>
        <w:t xml:space="preserve"> %</w:t>
      </w:r>
      <w:r w:rsidRPr="00654E3B">
        <w:rPr>
          <w:rFonts w:cs="Times New Roman"/>
        </w:rPr>
        <w:t xml:space="preserve"> od ukupnog broja osobnih vozila, odnosno na oko 31.000 vozila u 2050. godini</w:t>
      </w:r>
    </w:p>
    <w:p w:rsidR="001C6A8F" w:rsidRPr="00654E3B" w:rsidRDefault="001C6A8F" w:rsidP="001C6A8F">
      <w:pPr>
        <w:pStyle w:val="ListParagraph"/>
        <w:numPr>
          <w:ilvl w:val="0"/>
          <w:numId w:val="66"/>
        </w:numPr>
        <w:spacing w:line="240" w:lineRule="auto"/>
        <w:rPr>
          <w:rFonts w:cs="Times New Roman"/>
        </w:rPr>
      </w:pPr>
      <w:r w:rsidRPr="00654E3B">
        <w:rPr>
          <w:rFonts w:cs="Times New Roman"/>
        </w:rPr>
        <w:t>porast udjela biogoriva u benzinskim i dizelskim gorivima na prosječnih 12</w:t>
      </w:r>
      <w:r w:rsidR="00060992" w:rsidRPr="00654E3B">
        <w:rPr>
          <w:rFonts w:cs="Times New Roman"/>
        </w:rPr>
        <w:t xml:space="preserve"> %</w:t>
      </w:r>
      <w:r w:rsidRPr="00654E3B">
        <w:rPr>
          <w:rFonts w:cs="Times New Roman"/>
        </w:rPr>
        <w:t xml:space="preserve"> do 2050. godine</w:t>
      </w:r>
    </w:p>
    <w:p w:rsidR="001C6A8F" w:rsidRPr="00654E3B" w:rsidRDefault="001C6A8F" w:rsidP="001C6A8F">
      <w:pPr>
        <w:pStyle w:val="ListParagraph"/>
        <w:numPr>
          <w:ilvl w:val="0"/>
          <w:numId w:val="66"/>
        </w:numPr>
        <w:spacing w:line="240" w:lineRule="auto"/>
        <w:rPr>
          <w:rFonts w:cs="Times New Roman"/>
        </w:rPr>
      </w:pPr>
      <w:r w:rsidRPr="00654E3B">
        <w:rPr>
          <w:rFonts w:cs="Times New Roman"/>
        </w:rPr>
        <w:t>popularizacija integriranog i intermodalnog s naglaskom na razvoj željeznice za prijevoz tereta, (rast na oko 25</w:t>
      </w:r>
      <w:r w:rsidR="00060992" w:rsidRPr="00654E3B">
        <w:rPr>
          <w:rFonts w:cs="Times New Roman"/>
        </w:rPr>
        <w:t xml:space="preserve"> %</w:t>
      </w:r>
      <w:r w:rsidRPr="00654E3B">
        <w:rPr>
          <w:rFonts w:cs="Times New Roman"/>
        </w:rPr>
        <w:t xml:space="preserve"> u 2050. godini), pri čemu se očekuje sukcesivno uvođenje električnih lokomotiva umjesto dizelskih</w:t>
      </w:r>
    </w:p>
    <w:p w:rsidR="001C6A8F" w:rsidRPr="00654E3B" w:rsidRDefault="001C6A8F" w:rsidP="001C6A8F">
      <w:pPr>
        <w:pStyle w:val="ListParagraph"/>
        <w:numPr>
          <w:ilvl w:val="0"/>
          <w:numId w:val="66"/>
        </w:numPr>
        <w:spacing w:line="240" w:lineRule="auto"/>
        <w:rPr>
          <w:rFonts w:cs="Times New Roman"/>
        </w:rPr>
      </w:pPr>
      <w:r w:rsidRPr="00654E3B">
        <w:rPr>
          <w:rFonts w:cs="Times New Roman"/>
        </w:rPr>
        <w:t>u pomorskom prometu pretpostavlja se da će u 2050. godini udio biogoriva iznositi 20</w:t>
      </w:r>
      <w:r w:rsidR="00060992" w:rsidRPr="00654E3B">
        <w:rPr>
          <w:rFonts w:cs="Times New Roman"/>
        </w:rPr>
        <w:t xml:space="preserve"> %</w:t>
      </w:r>
      <w:r w:rsidRPr="00654E3B">
        <w:rPr>
          <w:rFonts w:cs="Times New Roman"/>
        </w:rPr>
        <w:t>, UPP-a 5</w:t>
      </w:r>
      <w:r w:rsidR="00060992" w:rsidRPr="00654E3B">
        <w:rPr>
          <w:rFonts w:cs="Times New Roman"/>
        </w:rPr>
        <w:t xml:space="preserve"> %</w:t>
      </w:r>
      <w:r w:rsidRPr="00654E3B">
        <w:rPr>
          <w:rFonts w:cs="Times New Roman"/>
        </w:rPr>
        <w:t>.</w:t>
      </w:r>
    </w:p>
    <w:p w:rsidR="001C6A8F" w:rsidRPr="00654E3B" w:rsidRDefault="001C6A8F" w:rsidP="001C6A8F">
      <w:pPr>
        <w:pStyle w:val="Heading2"/>
        <w:rPr>
          <w:rFonts w:ascii="Times New Roman" w:hAnsi="Times New Roman" w:cs="Times New Roman"/>
        </w:rPr>
      </w:pPr>
      <w:bookmarkStart w:id="372" w:name="_Toc69810228"/>
      <w:r w:rsidRPr="00654E3B">
        <w:rPr>
          <w:rFonts w:ascii="Times New Roman" w:hAnsi="Times New Roman" w:cs="Times New Roman"/>
        </w:rPr>
        <w:t xml:space="preserve">II.4. </w:t>
      </w:r>
      <w:r w:rsidRPr="00654E3B">
        <w:rPr>
          <w:rFonts w:ascii="Times New Roman" w:hAnsi="Times New Roman" w:cs="Times New Roman"/>
        </w:rPr>
        <w:tab/>
        <w:t>SEKTOR OPĆE POTROŠNJE</w:t>
      </w:r>
      <w:bookmarkEnd w:id="372"/>
    </w:p>
    <w:p w:rsidR="001C6A8F" w:rsidRPr="00654E3B" w:rsidRDefault="001C6A8F" w:rsidP="001C6A8F">
      <w:pPr>
        <w:rPr>
          <w:rFonts w:cs="Times New Roman"/>
        </w:rPr>
      </w:pPr>
    </w:p>
    <w:p w:rsidR="001C6A8F" w:rsidRPr="00654E3B" w:rsidRDefault="001C6A8F" w:rsidP="001C6A8F">
      <w:pPr>
        <w:rPr>
          <w:rFonts w:cs="Times New Roman"/>
        </w:rPr>
      </w:pPr>
      <w:r w:rsidRPr="00654E3B">
        <w:rPr>
          <w:rFonts w:cs="Times New Roman"/>
        </w:rPr>
        <w:t>U NU1 scenariju za dostizanje ciljeva uključene su sljedeće mjere:</w:t>
      </w:r>
    </w:p>
    <w:p w:rsidR="001C6A8F" w:rsidRPr="00654E3B" w:rsidRDefault="001C6A8F" w:rsidP="001C6A8F">
      <w:pPr>
        <w:pStyle w:val="ListParagraph"/>
        <w:numPr>
          <w:ilvl w:val="0"/>
          <w:numId w:val="67"/>
        </w:numPr>
        <w:spacing w:line="240" w:lineRule="auto"/>
        <w:rPr>
          <w:rFonts w:cs="Times New Roman"/>
        </w:rPr>
      </w:pPr>
      <w:r w:rsidRPr="00654E3B">
        <w:rPr>
          <w:rFonts w:cs="Times New Roman"/>
        </w:rPr>
        <w:t>najznačajniji doprinos smanjenju potrošnji energije daje energetska obnova zgrada – obnova postojećeg fonda zgrada, prikladnog za obnovu, po godišnjoj stopi od 1,6</w:t>
      </w:r>
      <w:r w:rsidR="00060992" w:rsidRPr="00654E3B">
        <w:rPr>
          <w:rFonts w:cs="Times New Roman"/>
        </w:rPr>
        <w:t xml:space="preserve"> %</w:t>
      </w:r>
      <w:r w:rsidR="00827D0A" w:rsidRPr="00654E3B">
        <w:rPr>
          <w:rFonts w:cs="Times New Roman"/>
        </w:rPr>
        <w:t xml:space="preserve">. </w:t>
      </w:r>
    </w:p>
    <w:p w:rsidR="001C6A8F" w:rsidRPr="00654E3B" w:rsidRDefault="001C6A8F" w:rsidP="006347C0">
      <w:pPr>
        <w:pStyle w:val="ListParagraph"/>
        <w:numPr>
          <w:ilvl w:val="0"/>
          <w:numId w:val="67"/>
        </w:numPr>
        <w:spacing w:line="240" w:lineRule="auto"/>
        <w:rPr>
          <w:rFonts w:cs="Times New Roman"/>
        </w:rPr>
      </w:pPr>
      <w:r w:rsidRPr="00654E3B">
        <w:rPr>
          <w:rFonts w:cs="Times New Roman"/>
        </w:rPr>
        <w:t>u sektoru kućanstava previđa se obnova oko 10.000 stambenih jedinica godišnje.</w:t>
      </w:r>
    </w:p>
    <w:p w:rsidR="001C6A8F" w:rsidRPr="00654E3B" w:rsidRDefault="00982D90" w:rsidP="001C6A8F">
      <w:pPr>
        <w:pStyle w:val="ListParagraph"/>
        <w:numPr>
          <w:ilvl w:val="0"/>
          <w:numId w:val="67"/>
        </w:numPr>
        <w:spacing w:line="240" w:lineRule="auto"/>
        <w:rPr>
          <w:rFonts w:cs="Times New Roman"/>
        </w:rPr>
      </w:pPr>
      <w:r w:rsidRPr="00654E3B">
        <w:rPr>
          <w:rFonts w:cs="Times New Roman"/>
        </w:rPr>
        <w:t xml:space="preserve">povećanje udjela </w:t>
      </w:r>
      <w:r w:rsidR="001C6A8F" w:rsidRPr="00654E3B">
        <w:rPr>
          <w:rFonts w:cs="Times New Roman"/>
        </w:rPr>
        <w:t>električne energije za toplinske namjene je snažno prisutna</w:t>
      </w:r>
    </w:p>
    <w:p w:rsidR="001C6A8F" w:rsidRPr="00654E3B" w:rsidRDefault="001C6A8F" w:rsidP="001C6A8F">
      <w:pPr>
        <w:pStyle w:val="ListParagraph"/>
        <w:numPr>
          <w:ilvl w:val="0"/>
          <w:numId w:val="67"/>
        </w:numPr>
        <w:spacing w:line="240" w:lineRule="auto"/>
        <w:rPr>
          <w:rFonts w:cs="Times New Roman"/>
        </w:rPr>
      </w:pPr>
      <w:r w:rsidRPr="00654E3B">
        <w:rPr>
          <w:rFonts w:cs="Times New Roman"/>
        </w:rPr>
        <w:t>do 2050. godine 36</w:t>
      </w:r>
      <w:r w:rsidR="00060992" w:rsidRPr="00654E3B">
        <w:rPr>
          <w:rFonts w:cs="Times New Roman"/>
        </w:rPr>
        <w:t xml:space="preserve"> %</w:t>
      </w:r>
      <w:r w:rsidRPr="00654E3B">
        <w:rPr>
          <w:rFonts w:cs="Times New Roman"/>
        </w:rPr>
        <w:t xml:space="preserve"> stambenog fonda su novoizgrađene stambene jedince, a 21</w:t>
      </w:r>
      <w:r w:rsidR="00060992" w:rsidRPr="00654E3B">
        <w:rPr>
          <w:rFonts w:cs="Times New Roman"/>
        </w:rPr>
        <w:t xml:space="preserve"> %</w:t>
      </w:r>
      <w:r w:rsidRPr="00654E3B">
        <w:rPr>
          <w:rFonts w:cs="Times New Roman"/>
        </w:rPr>
        <w:t xml:space="preserve"> stambenih jedinica ima poboljšanu toplinsku izolaciju u odnosu na 2016. godinu, što rezultira specifičnom potrošnjom 67 kWh/m</w:t>
      </w:r>
      <w:r w:rsidRPr="00654E3B">
        <w:rPr>
          <w:rFonts w:cs="Times New Roman"/>
          <w:vertAlign w:val="superscript"/>
        </w:rPr>
        <w:t>2</w:t>
      </w:r>
      <w:r w:rsidRPr="00654E3B">
        <w:rPr>
          <w:rFonts w:cs="Times New Roman"/>
        </w:rPr>
        <w:t xml:space="preserve"> grijane površine</w:t>
      </w:r>
    </w:p>
    <w:p w:rsidR="001C6A8F" w:rsidRPr="00654E3B" w:rsidRDefault="001C6A8F" w:rsidP="001C6A8F">
      <w:pPr>
        <w:pStyle w:val="ListParagraph"/>
        <w:numPr>
          <w:ilvl w:val="0"/>
          <w:numId w:val="67"/>
        </w:numPr>
        <w:spacing w:line="240" w:lineRule="auto"/>
        <w:rPr>
          <w:rFonts w:cs="Times New Roman"/>
        </w:rPr>
      </w:pPr>
      <w:r w:rsidRPr="00654E3B">
        <w:rPr>
          <w:rFonts w:cs="Times New Roman"/>
        </w:rPr>
        <w:t>struktura energenata za grijanje u kućanstvima u 2050. godini je 43</w:t>
      </w:r>
      <w:r w:rsidR="00060992" w:rsidRPr="00654E3B">
        <w:rPr>
          <w:rFonts w:cs="Times New Roman"/>
        </w:rPr>
        <w:t xml:space="preserve"> %</w:t>
      </w:r>
      <w:r w:rsidRPr="00654E3B">
        <w:rPr>
          <w:rFonts w:cs="Times New Roman"/>
        </w:rPr>
        <w:t xml:space="preserve"> biomasa (pri čemu je 27</w:t>
      </w:r>
      <w:r w:rsidR="00060992" w:rsidRPr="00654E3B">
        <w:rPr>
          <w:rFonts w:cs="Times New Roman"/>
        </w:rPr>
        <w:t xml:space="preserve"> %</w:t>
      </w:r>
      <w:r w:rsidRPr="00654E3B">
        <w:rPr>
          <w:rFonts w:cs="Times New Roman"/>
        </w:rPr>
        <w:t xml:space="preserve"> moderna biomasa, a ostalo ogrjevno drvo), 19</w:t>
      </w:r>
      <w:r w:rsidR="00060992" w:rsidRPr="00654E3B">
        <w:rPr>
          <w:rFonts w:cs="Times New Roman"/>
        </w:rPr>
        <w:t xml:space="preserve"> %</w:t>
      </w:r>
      <w:r w:rsidRPr="00654E3B">
        <w:rPr>
          <w:rFonts w:cs="Times New Roman"/>
        </w:rPr>
        <w:t xml:space="preserve"> dizalice topline, 10</w:t>
      </w:r>
      <w:r w:rsidR="00060992" w:rsidRPr="00654E3B">
        <w:rPr>
          <w:rFonts w:cs="Times New Roman"/>
        </w:rPr>
        <w:t xml:space="preserve"> %</w:t>
      </w:r>
      <w:r w:rsidRPr="00654E3B">
        <w:rPr>
          <w:rFonts w:cs="Times New Roman"/>
        </w:rPr>
        <w:t xml:space="preserve"> daljinsko grijanje te prirodni plin 29</w:t>
      </w:r>
      <w:r w:rsidR="00060992" w:rsidRPr="00654E3B">
        <w:rPr>
          <w:rFonts w:cs="Times New Roman"/>
        </w:rPr>
        <w:t xml:space="preserve"> %</w:t>
      </w:r>
    </w:p>
    <w:p w:rsidR="001C6A8F" w:rsidRPr="00654E3B" w:rsidRDefault="001C6A8F" w:rsidP="001C6A8F">
      <w:pPr>
        <w:pStyle w:val="ListParagraph"/>
        <w:numPr>
          <w:ilvl w:val="0"/>
          <w:numId w:val="67"/>
        </w:numPr>
        <w:spacing w:line="240" w:lineRule="auto"/>
        <w:rPr>
          <w:rFonts w:cs="Times New Roman"/>
        </w:rPr>
      </w:pPr>
      <w:r w:rsidRPr="00654E3B">
        <w:rPr>
          <w:rFonts w:cs="Times New Roman"/>
        </w:rPr>
        <w:t>toplinske potrebe u uslužnom sektoru do 2050. godine svode se na 55 kWh/m</w:t>
      </w:r>
      <w:r w:rsidRPr="00654E3B">
        <w:rPr>
          <w:rFonts w:cs="Times New Roman"/>
          <w:vertAlign w:val="superscript"/>
        </w:rPr>
        <w:t>2</w:t>
      </w:r>
      <w:r w:rsidRPr="00654E3B">
        <w:rPr>
          <w:rFonts w:cs="Times New Roman"/>
        </w:rPr>
        <w:t xml:space="preserve"> grijane površine.</w:t>
      </w:r>
    </w:p>
    <w:p w:rsidR="001C6A8F" w:rsidRPr="00654E3B" w:rsidRDefault="001C6A8F" w:rsidP="001C6A8F">
      <w:pPr>
        <w:pStyle w:val="Heading2"/>
        <w:rPr>
          <w:rFonts w:ascii="Times New Roman" w:hAnsi="Times New Roman" w:cs="Times New Roman"/>
        </w:rPr>
      </w:pPr>
      <w:bookmarkStart w:id="373" w:name="_Toc69810229"/>
      <w:r w:rsidRPr="00654E3B">
        <w:rPr>
          <w:rFonts w:ascii="Times New Roman" w:hAnsi="Times New Roman" w:cs="Times New Roman"/>
        </w:rPr>
        <w:t xml:space="preserve">II.5. </w:t>
      </w:r>
      <w:r w:rsidRPr="00654E3B">
        <w:rPr>
          <w:rFonts w:ascii="Times New Roman" w:hAnsi="Times New Roman" w:cs="Times New Roman"/>
        </w:rPr>
        <w:tab/>
        <w:t>POLJOPRIVREDA</w:t>
      </w:r>
      <w:bookmarkEnd w:id="373"/>
    </w:p>
    <w:p w:rsidR="001C6A8F" w:rsidRPr="00654E3B" w:rsidRDefault="001C6A8F" w:rsidP="001C6A8F">
      <w:pPr>
        <w:keepNext/>
        <w:rPr>
          <w:rFonts w:cs="Times New Roman"/>
        </w:rPr>
      </w:pPr>
    </w:p>
    <w:p w:rsidR="001C6A8F" w:rsidRPr="00654E3B" w:rsidRDefault="001C6A8F" w:rsidP="001C6A8F">
      <w:pPr>
        <w:keepNext/>
        <w:rPr>
          <w:rFonts w:cs="Times New Roman"/>
        </w:rPr>
      </w:pPr>
      <w:r w:rsidRPr="00654E3B">
        <w:rPr>
          <w:rFonts w:cs="Times New Roman"/>
        </w:rPr>
        <w:t>Pozitivan utjecaj primjene mjera na ukupnu emisiju stakleničkih plinova u sektoru poljoprivrede  očituje se kroz izravno smanjenje emisija metana i dušikovih spojeva. Mjere uključene pri formiranju NU1 scenarija poljoprivrede u odnosu na NUR scenarij:</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 xml:space="preserve">promjena u ishrani goveda i svinja te sastavu hrane za životinje </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anaerobna digestija (silaže i obnovljive lignocelulozne sirovine, organskih nusproizvoda prehrambene industrije i klaonica, biorazgradive frakcije čvrstog komunalnog otpada te mikrobne biomase) i proizvodnja bioplina za proizvodnju električne i toplinske energije i goriva za motore s unutarnjim izgaranjem</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unaprijediti objekte ili nastambe kao i sustav gospodarenja</w:t>
      </w:r>
      <w:r w:rsidR="00CC70F4" w:rsidRPr="00654E3B">
        <w:rPr>
          <w:rFonts w:cs="Times New Roman"/>
        </w:rPr>
        <w:t xml:space="preserve"> stajskim gnojem</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unaprijediti aplikaciju gnojiva</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izgradnja hidromelioracijskih zahvata</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poticati razvoj precizne poljoprivrede koja se temelji na razvijenim GIS i GPS tehnologijama</w:t>
      </w:r>
    </w:p>
    <w:p w:rsidR="001C6A8F" w:rsidRPr="00654E3B" w:rsidRDefault="001C6A8F" w:rsidP="001C6A8F">
      <w:pPr>
        <w:pStyle w:val="ListParagraph"/>
        <w:numPr>
          <w:ilvl w:val="0"/>
          <w:numId w:val="69"/>
        </w:numPr>
        <w:pBdr>
          <w:top w:val="none" w:sz="0" w:space="0" w:color="auto"/>
          <w:left w:val="none" w:sz="0" w:space="0" w:color="auto"/>
          <w:bottom w:val="none" w:sz="0" w:space="0" w:color="auto"/>
          <w:right w:val="none" w:sz="0" w:space="0" w:color="auto"/>
          <w:between w:val="none" w:sz="0" w:space="0" w:color="auto"/>
        </w:pBdr>
        <w:spacing w:line="259" w:lineRule="auto"/>
        <w:jc w:val="left"/>
        <w:rPr>
          <w:rFonts w:cs="Times New Roman"/>
        </w:rPr>
      </w:pPr>
      <w:r w:rsidRPr="00654E3B">
        <w:rPr>
          <w:rFonts w:cs="Times New Roman"/>
        </w:rPr>
        <w:t>uvođenje novih</w:t>
      </w:r>
      <w:r w:rsidR="006347C0" w:rsidRPr="00654E3B">
        <w:rPr>
          <w:rFonts w:cs="Times New Roman"/>
        </w:rPr>
        <w:t xml:space="preserve"> </w:t>
      </w:r>
      <w:r w:rsidRPr="00654E3B">
        <w:rPr>
          <w:rFonts w:cs="Times New Roman"/>
        </w:rPr>
        <w:t>sorti i vrsta</w:t>
      </w:r>
      <w:r w:rsidR="003617DF" w:rsidRPr="00654E3B">
        <w:rPr>
          <w:rFonts w:cs="Times New Roman"/>
        </w:rPr>
        <w:t>.</w:t>
      </w:r>
    </w:p>
    <w:p w:rsidR="001C6A8F" w:rsidRPr="00654E3B" w:rsidRDefault="001C6A8F" w:rsidP="001C6A8F">
      <w:pPr>
        <w:rPr>
          <w:rFonts w:cs="Times New Roman"/>
        </w:rPr>
      </w:pPr>
      <w:r w:rsidRPr="00654E3B">
        <w:rPr>
          <w:rFonts w:cs="Times New Roman"/>
        </w:rPr>
        <w:t xml:space="preserve">Za procjenu potencijalnog </w:t>
      </w:r>
      <w:r w:rsidR="006347C0" w:rsidRPr="00654E3B">
        <w:rPr>
          <w:rFonts w:cs="Times New Roman"/>
        </w:rPr>
        <w:t>s</w:t>
      </w:r>
      <w:r w:rsidRPr="00654E3B">
        <w:rPr>
          <w:rFonts w:cs="Times New Roman"/>
        </w:rPr>
        <w:t xml:space="preserve">manjenja ukupnih emisija kroz povećanje organskog ugljika u tlu primjenom dodatnog seta mjera potrebno je provesti nacionalna istraživanja s ciljem definiranja stvarnih potencijala za povećavanje ponora ugljika u poljoprivrednim tlima u Republici Hrvatskoj, posebice </w:t>
      </w:r>
      <w:r w:rsidR="00D513E6" w:rsidRPr="00654E3B">
        <w:rPr>
          <w:rFonts w:cs="Times New Roman"/>
        </w:rPr>
        <w:t xml:space="preserve">primjenu </w:t>
      </w:r>
      <w:r w:rsidRPr="00654E3B">
        <w:rPr>
          <w:rFonts w:cs="Times New Roman"/>
        </w:rPr>
        <w:t>sustava reducirane obrade tla te nastaviti istraživanje potencijala za primjenu ovisno o</w:t>
      </w:r>
      <w:r w:rsidR="00D513E6" w:rsidRPr="00654E3B">
        <w:rPr>
          <w:rFonts w:cs="Times New Roman"/>
        </w:rPr>
        <w:t xml:space="preserve"> tipu tla</w:t>
      </w:r>
      <w:r w:rsidRPr="00654E3B">
        <w:rPr>
          <w:rFonts w:cs="Times New Roman"/>
        </w:rPr>
        <w:t>. Mjere koje imaju potencijal za povećavanje sekvestracije ugljika:</w:t>
      </w:r>
    </w:p>
    <w:p w:rsidR="001C6A8F" w:rsidRPr="00654E3B" w:rsidRDefault="001C6A8F" w:rsidP="001C6A8F">
      <w:pPr>
        <w:pStyle w:val="ListParagraph"/>
        <w:numPr>
          <w:ilvl w:val="0"/>
          <w:numId w:val="69"/>
        </w:numPr>
        <w:rPr>
          <w:rFonts w:cs="Times New Roman"/>
        </w:rPr>
      </w:pPr>
      <w:r w:rsidRPr="00654E3B">
        <w:rPr>
          <w:rFonts w:cs="Times New Roman"/>
        </w:rPr>
        <w:t>Unaprjeđivanje i promjena sustava obrade tla (reducirana obrada)</w:t>
      </w:r>
    </w:p>
    <w:p w:rsidR="001C6A8F" w:rsidRPr="00654E3B" w:rsidRDefault="001C6A8F" w:rsidP="001C6A8F">
      <w:pPr>
        <w:pStyle w:val="ListParagraph"/>
        <w:numPr>
          <w:ilvl w:val="0"/>
          <w:numId w:val="69"/>
        </w:numPr>
        <w:rPr>
          <w:rFonts w:cs="Times New Roman"/>
        </w:rPr>
      </w:pPr>
      <w:r w:rsidRPr="00654E3B">
        <w:rPr>
          <w:rFonts w:cs="Times New Roman"/>
        </w:rPr>
        <w:t>Proširenje plodoreda s većim učešćem leguminoza</w:t>
      </w:r>
    </w:p>
    <w:p w:rsidR="001C6A8F" w:rsidRPr="00654E3B" w:rsidRDefault="001C6A8F" w:rsidP="001C6A8F">
      <w:pPr>
        <w:pStyle w:val="ListParagraph"/>
        <w:numPr>
          <w:ilvl w:val="0"/>
          <w:numId w:val="69"/>
        </w:numPr>
        <w:rPr>
          <w:rFonts w:cs="Times New Roman"/>
        </w:rPr>
      </w:pPr>
      <w:r w:rsidRPr="00654E3B">
        <w:rPr>
          <w:rFonts w:cs="Times New Roman"/>
        </w:rPr>
        <w:t>Intenziviranje plodoreda korištenjem međuusjeva</w:t>
      </w:r>
    </w:p>
    <w:p w:rsidR="001C6A8F" w:rsidRPr="00654E3B" w:rsidRDefault="001C6A8F" w:rsidP="001C6A8F">
      <w:pPr>
        <w:pStyle w:val="ListParagraph"/>
        <w:numPr>
          <w:ilvl w:val="0"/>
          <w:numId w:val="69"/>
        </w:numPr>
        <w:rPr>
          <w:rFonts w:cs="Times New Roman"/>
        </w:rPr>
      </w:pPr>
      <w:r w:rsidRPr="00654E3B">
        <w:rPr>
          <w:rFonts w:cs="Times New Roman"/>
        </w:rPr>
        <w:t>Poboljšanje načina primjene organskih gnojiva</w:t>
      </w:r>
    </w:p>
    <w:p w:rsidR="001C6A8F" w:rsidRPr="00654E3B" w:rsidRDefault="001C6A8F" w:rsidP="001C6A8F">
      <w:pPr>
        <w:pStyle w:val="ListParagraph"/>
        <w:numPr>
          <w:ilvl w:val="0"/>
          <w:numId w:val="69"/>
        </w:numPr>
        <w:rPr>
          <w:rFonts w:cs="Times New Roman"/>
        </w:rPr>
      </w:pPr>
      <w:r w:rsidRPr="00654E3B">
        <w:rPr>
          <w:rFonts w:cs="Times New Roman"/>
        </w:rPr>
        <w:t>Zelena gnojidba</w:t>
      </w:r>
    </w:p>
    <w:p w:rsidR="001C6A8F" w:rsidRPr="00654E3B" w:rsidRDefault="001C6A8F" w:rsidP="001C6A8F">
      <w:pPr>
        <w:pStyle w:val="ListParagraph"/>
        <w:numPr>
          <w:ilvl w:val="0"/>
          <w:numId w:val="69"/>
        </w:numPr>
        <w:rPr>
          <w:rFonts w:cs="Times New Roman"/>
        </w:rPr>
      </w:pPr>
      <w:r w:rsidRPr="00654E3B">
        <w:rPr>
          <w:rFonts w:cs="Times New Roman"/>
        </w:rPr>
        <w:t>Agrošumarstvo.</w:t>
      </w:r>
    </w:p>
    <w:p w:rsidR="00D415E5" w:rsidRPr="00654E3B" w:rsidRDefault="00D415E5" w:rsidP="00D415E5">
      <w:pPr>
        <w:pStyle w:val="ListParagraph"/>
        <w:rPr>
          <w:rFonts w:cs="Times New Roman"/>
        </w:rPr>
      </w:pPr>
    </w:p>
    <w:p w:rsidR="001C6A8F" w:rsidRPr="00654E3B" w:rsidRDefault="001C6A8F" w:rsidP="001C6A8F">
      <w:pPr>
        <w:pStyle w:val="Heading2"/>
        <w:rPr>
          <w:rFonts w:ascii="Times New Roman" w:hAnsi="Times New Roman" w:cs="Times New Roman"/>
        </w:rPr>
      </w:pPr>
      <w:bookmarkStart w:id="374" w:name="_Toc69810230"/>
      <w:r w:rsidRPr="00654E3B">
        <w:rPr>
          <w:rFonts w:ascii="Times New Roman" w:hAnsi="Times New Roman" w:cs="Times New Roman"/>
        </w:rPr>
        <w:t xml:space="preserve">II.6. </w:t>
      </w:r>
      <w:r w:rsidRPr="00654E3B">
        <w:rPr>
          <w:rFonts w:ascii="Times New Roman" w:hAnsi="Times New Roman" w:cs="Times New Roman"/>
        </w:rPr>
        <w:tab/>
        <w:t>OTPAD</w:t>
      </w:r>
      <w:bookmarkEnd w:id="374"/>
    </w:p>
    <w:p w:rsidR="001C6A8F" w:rsidRPr="00654E3B" w:rsidRDefault="001C6A8F" w:rsidP="001C6A8F">
      <w:pPr>
        <w:rPr>
          <w:rFonts w:cs="Times New Roman"/>
        </w:rPr>
      </w:pPr>
    </w:p>
    <w:p w:rsidR="001C6A8F" w:rsidRPr="00654E3B" w:rsidRDefault="001C6A8F" w:rsidP="001C6A8F">
      <w:pPr>
        <w:rPr>
          <w:rFonts w:cs="Times New Roman"/>
        </w:rPr>
      </w:pPr>
      <w:r w:rsidRPr="00654E3B">
        <w:rPr>
          <w:rFonts w:cs="Times New Roman"/>
        </w:rPr>
        <w:t xml:space="preserve">Scenarij NU1 jednak je scenariju NUR budući </w:t>
      </w:r>
      <w:r w:rsidR="00C773FB" w:rsidRPr="00654E3B">
        <w:rPr>
          <w:rFonts w:cs="Times New Roman"/>
        </w:rPr>
        <w:t xml:space="preserve">da </w:t>
      </w:r>
      <w:r w:rsidRPr="00654E3B">
        <w:rPr>
          <w:rFonts w:cs="Times New Roman"/>
        </w:rPr>
        <w:t>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 (što odgovara NUR scenariju).</w:t>
      </w:r>
    </w:p>
    <w:p w:rsidR="001C6A8F" w:rsidRPr="00654E3B" w:rsidRDefault="001C6A8F" w:rsidP="001C6A8F">
      <w:pPr>
        <w:rPr>
          <w:rFonts w:cs="Times New Roman"/>
        </w:rPr>
      </w:pPr>
      <w:r w:rsidRPr="00654E3B">
        <w:rPr>
          <w:rFonts w:cs="Times New Roman"/>
        </w:rPr>
        <w:br w:type="page"/>
      </w:r>
    </w:p>
    <w:p w:rsidR="007D4A93" w:rsidRPr="00654E3B" w:rsidRDefault="00EF0BEB">
      <w:pPr>
        <w:pStyle w:val="Heading1"/>
        <w:rPr>
          <w:rFonts w:ascii="Times New Roman" w:hAnsi="Times New Roman" w:cs="Times New Roman"/>
        </w:rPr>
      </w:pPr>
      <w:bookmarkStart w:id="375" w:name="_Toc69810231"/>
      <w:r w:rsidRPr="00654E3B">
        <w:rPr>
          <w:rFonts w:ascii="Times New Roman" w:hAnsi="Times New Roman" w:cs="Times New Roman"/>
        </w:rPr>
        <w:lastRenderedPageBreak/>
        <w:t>PRILOG III.  -  OPIS NISKOUGLJIČNOG SCENARIJA SNAŽNE TRANZICIJE</w:t>
      </w:r>
      <w:bookmarkEnd w:id="366"/>
      <w:bookmarkEnd w:id="367"/>
      <w:r w:rsidRPr="00654E3B">
        <w:rPr>
          <w:rFonts w:ascii="Times New Roman" w:hAnsi="Times New Roman" w:cs="Times New Roman"/>
        </w:rPr>
        <w:t xml:space="preserve"> (NU2)</w:t>
      </w:r>
      <w:bookmarkEnd w:id="368"/>
      <w:bookmarkEnd w:id="375"/>
    </w:p>
    <w:p w:rsidR="007D4A93" w:rsidRPr="00654E3B" w:rsidRDefault="007D4A93">
      <w:pPr>
        <w:rPr>
          <w:rFonts w:cs="Times New Roman"/>
        </w:rPr>
      </w:pPr>
    </w:p>
    <w:p w:rsidR="007D4A93" w:rsidRPr="00654E3B" w:rsidRDefault="00EF0BEB">
      <w:pPr>
        <w:pStyle w:val="Heading2"/>
        <w:rPr>
          <w:rFonts w:ascii="Times New Roman" w:hAnsi="Times New Roman" w:cs="Times New Roman"/>
        </w:rPr>
      </w:pPr>
      <w:bookmarkStart w:id="376" w:name="_Toc69810232"/>
      <w:bookmarkStart w:id="377" w:name="_Toc20841330"/>
      <w:bookmarkStart w:id="378" w:name="_Toc20841436"/>
      <w:r w:rsidRPr="00654E3B">
        <w:rPr>
          <w:rFonts w:ascii="Times New Roman" w:hAnsi="Times New Roman" w:cs="Times New Roman"/>
        </w:rPr>
        <w:t xml:space="preserve">III.1. </w:t>
      </w:r>
      <w:r w:rsidRPr="00654E3B">
        <w:rPr>
          <w:rFonts w:ascii="Times New Roman" w:hAnsi="Times New Roman" w:cs="Times New Roman"/>
        </w:rPr>
        <w:tab/>
        <w:t>PROIZVODNJA, POTROŠNJA, UVOZ I IZVOZ ENERGIJE</w:t>
      </w:r>
      <w:bookmarkEnd w:id="376"/>
    </w:p>
    <w:p w:rsidR="00AB40C9" w:rsidRPr="00654E3B" w:rsidRDefault="00AB40C9" w:rsidP="00AB40C9">
      <w:pPr>
        <w:rPr>
          <w:rFonts w:cs="Times New Roman"/>
        </w:rPr>
      </w:pPr>
    </w:p>
    <w:p w:rsidR="007D4A93" w:rsidRPr="00654E3B" w:rsidRDefault="00EF0BEB">
      <w:pPr>
        <w:rPr>
          <w:rFonts w:cs="Times New Roman"/>
          <w:u w:val="single"/>
        </w:rPr>
      </w:pPr>
      <w:r w:rsidRPr="00654E3B">
        <w:rPr>
          <w:rFonts w:cs="Times New Roman"/>
          <w:u w:val="single"/>
        </w:rPr>
        <w:t>Neposredna potrošnja energije</w:t>
      </w:r>
    </w:p>
    <w:p w:rsidR="007D4A93" w:rsidRPr="00654E3B" w:rsidRDefault="00EF0BEB">
      <w:pPr>
        <w:rPr>
          <w:rFonts w:cs="Times New Roman"/>
        </w:rPr>
      </w:pPr>
      <w:r w:rsidRPr="00654E3B">
        <w:rPr>
          <w:rFonts w:cs="Times New Roman"/>
        </w:rPr>
        <w:t>U Scenariju snažne tranzicije (NU2), neposredna potrošnja energije do 2030. godine smanjuje se za ukupno 4</w:t>
      </w:r>
      <w:r w:rsidR="00060992" w:rsidRPr="00654E3B">
        <w:rPr>
          <w:rFonts w:cs="Times New Roman"/>
        </w:rPr>
        <w:t xml:space="preserve"> %</w:t>
      </w:r>
      <w:r w:rsidRPr="00654E3B">
        <w:rPr>
          <w:rFonts w:cs="Times New Roman"/>
        </w:rPr>
        <w:t>, a zatim za 33</w:t>
      </w:r>
      <w:r w:rsidR="00060992" w:rsidRPr="00654E3B">
        <w:rPr>
          <w:rFonts w:cs="Times New Roman"/>
        </w:rPr>
        <w:t xml:space="preserve"> %</w:t>
      </w:r>
      <w:r w:rsidRPr="00654E3B">
        <w:rPr>
          <w:rFonts w:cs="Times New Roman"/>
        </w:rPr>
        <w:t xml:space="preserve"> do 2050. godine, promatrano u odnosu na sadašnju razinu (2018. godina) neposredne potrošnje energije.</w:t>
      </w:r>
    </w:p>
    <w:p w:rsidR="007D4A93" w:rsidRPr="00654E3B" w:rsidRDefault="00EF0BEB">
      <w:pPr>
        <w:rPr>
          <w:rFonts w:cs="Times New Roman"/>
        </w:rPr>
      </w:pPr>
      <w:r w:rsidRPr="00654E3B">
        <w:rPr>
          <w:rFonts w:cs="Times New Roman"/>
        </w:rPr>
        <w:t>Mijenja se struktura utrošenih oblika energije. Očekuje se porast udjela električne energije i vodika, a smanjuje se udio prirodnog plina te krutih i tekućih fosilnih goriva. Ukupni udio fosilnih goriva opada na 53,8</w:t>
      </w:r>
      <w:r w:rsidR="00060992" w:rsidRPr="00654E3B">
        <w:rPr>
          <w:rFonts w:cs="Times New Roman"/>
        </w:rPr>
        <w:t xml:space="preserve"> %</w:t>
      </w:r>
      <w:r w:rsidRPr="00654E3B">
        <w:rPr>
          <w:rFonts w:cs="Times New Roman"/>
        </w:rPr>
        <w:t xml:space="preserve"> u 2030. godini i na 32,0</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 xml:space="preserve">Neposredna potrošnja energije u svim granama (industrija, promet, opća potrošnja) se smanjuje tijekom cijelog promatranog razdoblja. </w:t>
      </w:r>
    </w:p>
    <w:p w:rsidR="007D4A93" w:rsidRPr="00654E3B" w:rsidRDefault="00EF0BEB">
      <w:pPr>
        <w:rPr>
          <w:rFonts w:cs="Times New Roman"/>
        </w:rPr>
      </w:pPr>
      <w:r w:rsidRPr="00654E3B">
        <w:rPr>
          <w:rFonts w:cs="Times New Roman"/>
        </w:rPr>
        <w:t>U tablici III.1-1 i tablici III.1-2 prikazane su projekcije neposredne potrošnje energije u NU2 scenariju.</w:t>
      </w:r>
    </w:p>
    <w:p w:rsidR="007D4A93" w:rsidRPr="00654E3B" w:rsidRDefault="00EF0BEB">
      <w:pPr>
        <w:rPr>
          <w:rFonts w:cs="Times New Roman"/>
          <w:i/>
        </w:rPr>
      </w:pPr>
      <w:r w:rsidRPr="00654E3B">
        <w:rPr>
          <w:rFonts w:cs="Times New Roman"/>
          <w:i/>
        </w:rPr>
        <w:t>Tablica III.1-1: Neposredna potrošnja energije po gorivima, NU2</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51,8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34,2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17,8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1232,4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940,2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775,7</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2444,1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2006,2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887,5</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1007,6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793,7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542,3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1547,7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1724,7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2129,9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Toplinska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214,1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182,9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136,9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0,005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30,2</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6508,3</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5692,2</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jc w:val="center"/>
              <w:rPr>
                <w:rFonts w:eastAsia="Times New Roman" w:cs="Times New Roman"/>
                <w:color w:val="000000"/>
                <w:sz w:val="20"/>
                <w:lang w:eastAsia="hr-HR"/>
              </w:rPr>
            </w:pPr>
            <w:r w:rsidRPr="00654E3B">
              <w:rPr>
                <w:rFonts w:eastAsia="Times New Roman" w:cs="Times New Roman"/>
                <w:color w:val="000000"/>
                <w:sz w:val="20"/>
                <w:lang w:eastAsia="hr-HR"/>
              </w:rPr>
              <w:t>4528,3</w:t>
            </w:r>
          </w:p>
        </w:tc>
      </w:tr>
    </w:tbl>
    <w:p w:rsidR="007D4A93" w:rsidRPr="00654E3B" w:rsidRDefault="007D4A93">
      <w:pPr>
        <w:rPr>
          <w:rFonts w:cs="Times New Roman"/>
          <w:i/>
        </w:rPr>
      </w:pPr>
    </w:p>
    <w:p w:rsidR="007D4A93" w:rsidRPr="00654E3B" w:rsidRDefault="00EF0BEB">
      <w:pPr>
        <w:rPr>
          <w:rFonts w:cs="Times New Roman"/>
          <w:i/>
        </w:rPr>
      </w:pPr>
      <w:r w:rsidRPr="00654E3B">
        <w:rPr>
          <w:rFonts w:cs="Times New Roman"/>
          <w:i/>
        </w:rPr>
        <w:t>Tablica III.1-2: Neposredna potrošnja energije po granama, NU2</w:t>
      </w:r>
    </w:p>
    <w:tbl>
      <w:tblPr>
        <w:tblW w:w="0" w:type="auto"/>
        <w:tblLayout w:type="fixed"/>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Industrija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1165,7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1017,1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Promet</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2178,9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1998,6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1416,8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Opća potrošnja</w:t>
            </w:r>
          </w:p>
        </w:tc>
        <w:tc>
          <w:tcPr>
            <w:tcW w:w="1417" w:type="dxa"/>
            <w:tcBorders>
              <w:top w:val="none" w:sz="4" w:space="0" w:color="000000"/>
              <w:left w:val="none" w:sz="4" w:space="0" w:color="000000"/>
              <w:bottom w:val="single" w:sz="4" w:space="0" w:color="auto"/>
              <w:right w:val="single" w:sz="4" w:space="0" w:color="auto"/>
            </w:tcBorders>
            <w:noWrap/>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3163,6</w:t>
            </w:r>
          </w:p>
        </w:tc>
        <w:tc>
          <w:tcPr>
            <w:tcW w:w="1417" w:type="dxa"/>
            <w:tcBorders>
              <w:top w:val="none" w:sz="4" w:space="0" w:color="000000"/>
              <w:left w:val="none" w:sz="4" w:space="0" w:color="000000"/>
              <w:bottom w:val="single" w:sz="4" w:space="0" w:color="auto"/>
              <w:right w:val="single" w:sz="4" w:space="0" w:color="auto"/>
            </w:tcBorders>
            <w:noWrap/>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2583,6</w:t>
            </w:r>
          </w:p>
        </w:tc>
        <w:tc>
          <w:tcPr>
            <w:tcW w:w="1417" w:type="dxa"/>
            <w:tcBorders>
              <w:top w:val="none" w:sz="4" w:space="0" w:color="000000"/>
              <w:left w:val="none" w:sz="4" w:space="0" w:color="000000"/>
              <w:bottom w:val="single" w:sz="4" w:space="0" w:color="auto"/>
              <w:right w:val="single" w:sz="4" w:space="0" w:color="auto"/>
            </w:tcBorders>
            <w:noWrap/>
          </w:tcPr>
          <w:p w:rsidR="007D4A93" w:rsidRPr="00654E3B" w:rsidRDefault="00EF0BEB">
            <w:pPr>
              <w:spacing w:line="240" w:lineRule="auto"/>
              <w:jc w:val="center"/>
              <w:rPr>
                <w:rFonts w:eastAsia="Times New Roman" w:cs="Times New Roman"/>
                <w:color w:val="000000"/>
                <w:sz w:val="20"/>
                <w:lang w:eastAsia="hr-HR"/>
              </w:rPr>
            </w:pPr>
            <w:r w:rsidRPr="00654E3B">
              <w:rPr>
                <w:rFonts w:cs="Times New Roman"/>
                <w:sz w:val="20"/>
              </w:rPr>
              <w:t>2094,4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Kućanstva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2038,2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1504,0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1153,2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Uslužni sektor</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919,9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885,1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764,0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ind w:left="170"/>
              <w:jc w:val="left"/>
              <w:rPr>
                <w:rFonts w:eastAsia="Times New Roman" w:cs="Times New Roman"/>
                <w:i/>
                <w:iCs/>
                <w:color w:val="000000"/>
                <w:sz w:val="20"/>
                <w:lang w:eastAsia="hr-HR"/>
              </w:rPr>
            </w:pPr>
            <w:r w:rsidRPr="00654E3B">
              <w:rPr>
                <w:rFonts w:eastAsia="Times New Roman" w:cs="Times New Roman"/>
                <w:i/>
                <w:iCs/>
                <w:color w:val="000000"/>
                <w:sz w:val="20"/>
                <w:lang w:eastAsia="hr-HR"/>
              </w:rPr>
              <w:t>Poljoprivreda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205,5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194,5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177,2</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6508,3</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5692,2</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spacing w:line="240" w:lineRule="auto"/>
              <w:jc w:val="center"/>
              <w:rPr>
                <w:rFonts w:eastAsia="Times New Roman" w:cs="Times New Roman"/>
                <w:color w:val="000000"/>
                <w:sz w:val="20"/>
                <w:lang w:eastAsia="hr-HR"/>
              </w:rPr>
            </w:pPr>
            <w:r w:rsidRPr="00654E3B">
              <w:rPr>
                <w:rFonts w:eastAsia="Times New Roman" w:cs="Times New Roman"/>
                <w:color w:val="000000"/>
                <w:sz w:val="20"/>
                <w:lang w:eastAsia="hr-HR"/>
              </w:rPr>
              <w:t>4528,3</w:t>
            </w:r>
          </w:p>
        </w:tc>
      </w:tr>
    </w:tbl>
    <w:p w:rsidR="007D4A93" w:rsidRPr="00654E3B" w:rsidRDefault="007D4A93">
      <w:pPr>
        <w:rPr>
          <w:rFonts w:cs="Times New Roman"/>
          <w:u w:val="single"/>
        </w:rPr>
      </w:pPr>
    </w:p>
    <w:p w:rsidR="007D4A93" w:rsidRPr="00654E3B" w:rsidRDefault="00EF0BEB">
      <w:pPr>
        <w:rPr>
          <w:rFonts w:cs="Times New Roman"/>
        </w:rPr>
      </w:pPr>
      <w:r w:rsidRPr="00654E3B">
        <w:rPr>
          <w:rFonts w:cs="Times New Roman"/>
          <w:u w:val="single"/>
        </w:rPr>
        <w:t>Ukupna potrošnja energije</w:t>
      </w:r>
    </w:p>
    <w:p w:rsidR="007D4A93" w:rsidRPr="00654E3B" w:rsidRDefault="00EF0BEB">
      <w:pPr>
        <w:rPr>
          <w:rFonts w:cs="Times New Roman"/>
        </w:rPr>
      </w:pPr>
      <w:r w:rsidRPr="00654E3B">
        <w:rPr>
          <w:rFonts w:cs="Times New Roman"/>
        </w:rPr>
        <w:lastRenderedPageBreak/>
        <w:t>U NU2 scenariju  ukupne potrebe za energijom opadaju tijekom cijelog razdoblja. Ukupna potrošnja u 2030. godini je za 5</w:t>
      </w:r>
      <w:r w:rsidR="00060992" w:rsidRPr="00654E3B">
        <w:rPr>
          <w:rFonts w:cs="Times New Roman"/>
        </w:rPr>
        <w:t xml:space="preserve"> %</w:t>
      </w:r>
      <w:r w:rsidRPr="00654E3B">
        <w:rPr>
          <w:rFonts w:cs="Times New Roman"/>
        </w:rPr>
        <w:t xml:space="preserve"> manja u odnosu na današnju razinu, a u 2050. godini je manja za 26</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U strukturi oblika energije udio prirodnog plina, krutih i tekućih goriva te električne energije opada. Najveća promjena se očekuje na strani OIE čiji udio raste na 32,0</w:t>
      </w:r>
      <w:r w:rsidR="00060992" w:rsidRPr="00654E3B">
        <w:rPr>
          <w:rFonts w:cs="Times New Roman"/>
        </w:rPr>
        <w:t xml:space="preserve"> %</w:t>
      </w:r>
      <w:r w:rsidRPr="00654E3B">
        <w:rPr>
          <w:rFonts w:cs="Times New Roman"/>
        </w:rPr>
        <w:t xml:space="preserve"> u 2030. godini te na 56,2</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U tablici III.1-3 prikazane su projekcije ukupne potrošnje energije u NU2 scenariju.</w:t>
      </w:r>
    </w:p>
    <w:p w:rsidR="007D4A93" w:rsidRPr="00654E3B" w:rsidRDefault="00EF0BEB">
      <w:pPr>
        <w:rPr>
          <w:rFonts w:cs="Times New Roman"/>
          <w:i/>
        </w:rPr>
      </w:pPr>
      <w:r w:rsidRPr="00654E3B">
        <w:rPr>
          <w:rFonts w:cs="Times New Roman"/>
          <w:i/>
        </w:rPr>
        <w:t>Tablica III.1-3: Ukupna potrošnja energije po gorivima, NU2</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kten</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Ugljen i koks</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208,2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35,7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19,3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Tekuća fosilna 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3033,8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2499,3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1340,2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Prirodni 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3168,9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1774,2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1455,4</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Obnovljivi izvori</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2693,2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3043,0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3663,9</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Neobnovljivi otpad</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Električna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292,7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157,9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Vodik</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30,2</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8407,5</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7520,4</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6519,2</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Obnovljivi izvori energije</w:t>
      </w:r>
    </w:p>
    <w:p w:rsidR="007D4A93" w:rsidRPr="00654E3B" w:rsidRDefault="00EF0BEB">
      <w:pPr>
        <w:rPr>
          <w:rFonts w:cs="Times New Roman"/>
        </w:rPr>
      </w:pPr>
      <w:r w:rsidRPr="00654E3B">
        <w:rPr>
          <w:rFonts w:cs="Times New Roman"/>
        </w:rPr>
        <w:t>U NU2 scenariju očekuje se snažan porast korištenja energije iz obnovljivih izvora i diversifikacija korištenih izvora energije. Do 2030. korištenje OIE se povećava za 42</w:t>
      </w:r>
      <w:r w:rsidR="00060992" w:rsidRPr="00654E3B">
        <w:rPr>
          <w:rFonts w:cs="Times New Roman"/>
        </w:rPr>
        <w:t xml:space="preserve"> %</w:t>
      </w:r>
      <w:r w:rsidRPr="00654E3B">
        <w:rPr>
          <w:rFonts w:cs="Times New Roman"/>
        </w:rPr>
        <w:t>, a do 2050. godine za 93</w:t>
      </w:r>
      <w:r w:rsidR="00060992" w:rsidRPr="00654E3B">
        <w:rPr>
          <w:rFonts w:cs="Times New Roman"/>
        </w:rPr>
        <w:t xml:space="preserve"> %</w:t>
      </w:r>
      <w:r w:rsidRPr="00654E3B">
        <w:rPr>
          <w:rFonts w:cs="Times New Roman"/>
        </w:rPr>
        <w:t>.</w:t>
      </w:r>
    </w:p>
    <w:p w:rsidR="007D4A93" w:rsidRPr="00654E3B" w:rsidRDefault="00EF0BEB">
      <w:pPr>
        <w:rPr>
          <w:rFonts w:cs="Times New Roman"/>
        </w:rPr>
      </w:pPr>
      <w:r w:rsidRPr="00654E3B">
        <w:rPr>
          <w:rFonts w:cs="Times New Roman"/>
        </w:rPr>
        <w:t>U tablici III.1-4 prikazane su projekcije potrošnje obnovljivih izvora energije u NU2 scenariju.</w:t>
      </w:r>
    </w:p>
    <w:p w:rsidR="007D4A93" w:rsidRPr="00654E3B" w:rsidRDefault="00EF0BEB">
      <w:pPr>
        <w:rPr>
          <w:rFonts w:cs="Times New Roman"/>
          <w:i/>
        </w:rPr>
      </w:pPr>
      <w:r w:rsidRPr="00654E3B">
        <w:rPr>
          <w:rFonts w:cs="Times New Roman"/>
          <w:i/>
        </w:rPr>
        <w:t xml:space="preserve">Tablica III.1-4: Projekcije potrošnje obnovljivih izvora energije u NU2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Geotermalna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152,3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373,5</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441,2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Biogoriva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132,7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269,6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109,8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Bioplin</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67,9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76,7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123,5</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Kruta biomasa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1083,1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677,0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656,0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Energija Sunca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157,4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368,0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584,8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Energija vjetra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327,4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617,7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908,3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Hidroenergija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628,3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565,7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840,3</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2693,2</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3039,1</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3663,9</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Proizvodnja električne energije i topline</w:t>
      </w:r>
    </w:p>
    <w:p w:rsidR="007D4A93" w:rsidRPr="00654E3B" w:rsidRDefault="00EF0BEB">
      <w:pPr>
        <w:rPr>
          <w:rFonts w:cs="Times New Roman"/>
        </w:rPr>
      </w:pPr>
      <w:r w:rsidRPr="00654E3B">
        <w:rPr>
          <w:rFonts w:cs="Times New Roman"/>
        </w:rPr>
        <w:t>U NU2 scenariju očekuje se povećanje domaće proizvodnje i značajna promjena u strukturi proizvodnje električne energije. Povećava se udio obnovljivih izvora energije, a smanjuje udio proizvodnje termoelektrana (općenito – termoelektrane, javne toplane i industrijske kogeneracije). Do kraja promatranog razdoblja sve potrebne količine električne energije mogle bi se proizvesti iz domaćih elektrana, ali je moguća razmjena sa susjednim sustavima (tj. neto uvoz je jednak nuli).</w:t>
      </w:r>
    </w:p>
    <w:p w:rsidR="007D4A93" w:rsidRPr="00654E3B" w:rsidRDefault="00EF0BEB">
      <w:pPr>
        <w:rPr>
          <w:rFonts w:cs="Times New Roman"/>
        </w:rPr>
      </w:pPr>
      <w:r w:rsidRPr="00654E3B">
        <w:rPr>
          <w:rFonts w:cs="Times New Roman"/>
        </w:rPr>
        <w:lastRenderedPageBreak/>
        <w:t>U NU2 scenariju ukupna snaga elektrana raste na 7,1 GW u 2030. godini, odnosno na 12,9 GW u 2050. godini. Prosječno je godišnje potrebno izgraditi oko 350 MW novih elektrana. Osnovni razlog značajnom povećanju snage je izgradnja velikog broja OIE, u prosjeku se tijekom tridesetogodišnjeg razdoblja gradi 110 MW novih vjetroelektrana godišnje te 100 MW sunčanih elektrana godišnje.</w:t>
      </w:r>
    </w:p>
    <w:p w:rsidR="007D4A93" w:rsidRPr="00654E3B" w:rsidRDefault="00EF0BEB">
      <w:pPr>
        <w:rPr>
          <w:rFonts w:cs="Times New Roman"/>
        </w:rPr>
      </w:pPr>
      <w:r w:rsidRPr="00654E3B">
        <w:rPr>
          <w:rFonts w:cs="Times New Roman"/>
        </w:rPr>
        <w:t>U NU1 do kraja razdoblja pretpostavljen je izlazak iz pogona NE Krško te postojećih jedinica na lokaciji Plomin. Nema izgradnje novih TE na ugljen.</w:t>
      </w:r>
    </w:p>
    <w:p w:rsidR="007D4A93" w:rsidRPr="00654E3B" w:rsidRDefault="00EF0BEB">
      <w:pPr>
        <w:rPr>
          <w:rFonts w:cs="Times New Roman"/>
        </w:rPr>
      </w:pPr>
      <w:r w:rsidRPr="00654E3B">
        <w:rPr>
          <w:rFonts w:cs="Times New Roman"/>
        </w:rPr>
        <w:t>U tablici III.1-5 prikazane su projekcije proizvodnje električne energije u NU2 scenariju.</w:t>
      </w:r>
    </w:p>
    <w:p w:rsidR="007D4A93" w:rsidRPr="00654E3B" w:rsidRDefault="00EF0BEB">
      <w:pPr>
        <w:rPr>
          <w:rFonts w:cs="Times New Roman"/>
          <w:i/>
        </w:rPr>
      </w:pPr>
      <w:r w:rsidRPr="00654E3B">
        <w:rPr>
          <w:rFonts w:cs="Times New Roman"/>
          <w:i/>
        </w:rPr>
        <w:t xml:space="preserve">Tablica III.1-5: Projekcije proizvodnje električne energije u NU2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Industrijske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320,3</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280,4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239,8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Javne kogeneracije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3316,4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2394,0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1636,8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Termoelektrane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719,8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0,0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1764,3</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Geotermalne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128,8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365,8</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427,8</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Sunčane 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1371,0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3316,0</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5133,1</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Vjetroelektrane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4331,6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7183,7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10563,2</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Hidroelektrane</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7307,2</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7637,7</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9772,7</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17495,2</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21177,6</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29537,8</w:t>
            </w:r>
          </w:p>
        </w:tc>
      </w:tr>
    </w:tbl>
    <w:p w:rsidR="007D4A93" w:rsidRPr="00654E3B" w:rsidRDefault="007D4A93">
      <w:pPr>
        <w:rPr>
          <w:rFonts w:cs="Times New Roman"/>
          <w:u w:val="single"/>
        </w:rPr>
      </w:pPr>
    </w:p>
    <w:p w:rsidR="007D4A93" w:rsidRPr="00654E3B" w:rsidRDefault="00EF0BEB">
      <w:pPr>
        <w:rPr>
          <w:rFonts w:cs="Times New Roman"/>
          <w:u w:val="single"/>
        </w:rPr>
      </w:pPr>
      <w:r w:rsidRPr="00654E3B">
        <w:rPr>
          <w:rFonts w:cs="Times New Roman"/>
          <w:u w:val="single"/>
        </w:rPr>
        <w:t>Proizvodnja i uvoz energije</w:t>
      </w:r>
    </w:p>
    <w:p w:rsidR="007D4A93" w:rsidRPr="00654E3B" w:rsidRDefault="00EF0BEB">
      <w:pPr>
        <w:rPr>
          <w:rFonts w:cs="Times New Roman"/>
        </w:rPr>
      </w:pPr>
      <w:r w:rsidRPr="00654E3B">
        <w:rPr>
          <w:rFonts w:cs="Times New Roman"/>
        </w:rPr>
        <w:t>U NU2 scenariju udio domaće proizvodnje energije u ukupnoj potrošnji energije kontinuirano raste prema kraju razdoblja što se objašnjava smanjenjem ukupnih potreba za energijom: zbog snažnih mjera energetske učinkovitosti – obnova fonda zgrada i prelaska na druge oblike energije (npr. električna energija u prometu). Istovremeno se povećava proizvodnja iz OIE, i unatoč opadanju proizvodnje fosilnih goriva, vlastita opskrbljenost raste na 56,8</w:t>
      </w:r>
      <w:r w:rsidR="00060992" w:rsidRPr="00654E3B">
        <w:rPr>
          <w:rFonts w:cs="Times New Roman"/>
        </w:rPr>
        <w:t xml:space="preserve"> %</w:t>
      </w:r>
      <w:r w:rsidRPr="00654E3B">
        <w:rPr>
          <w:rFonts w:cs="Times New Roman"/>
        </w:rPr>
        <w:t xml:space="preserve"> u 2030. i na 62,0</w:t>
      </w:r>
      <w:r w:rsidR="00060992" w:rsidRPr="00654E3B">
        <w:rPr>
          <w:rFonts w:cs="Times New Roman"/>
        </w:rPr>
        <w:t xml:space="preserve"> %</w:t>
      </w:r>
      <w:r w:rsidRPr="00654E3B">
        <w:rPr>
          <w:rFonts w:cs="Times New Roman"/>
        </w:rPr>
        <w:t xml:space="preserve"> u 2050. godini.</w:t>
      </w:r>
    </w:p>
    <w:p w:rsidR="007D4A93" w:rsidRPr="00654E3B" w:rsidRDefault="00EF0BEB">
      <w:pPr>
        <w:rPr>
          <w:rFonts w:cs="Times New Roman"/>
        </w:rPr>
      </w:pPr>
      <w:r w:rsidRPr="00654E3B">
        <w:rPr>
          <w:rFonts w:cs="Times New Roman"/>
        </w:rPr>
        <w:t>U tablici III.1-6 prikazane su projekcije proizvodnje i uvoza energije u NU2 scenariju.</w:t>
      </w:r>
    </w:p>
    <w:p w:rsidR="007D4A93" w:rsidRPr="00654E3B" w:rsidRDefault="00EF0BEB">
      <w:pPr>
        <w:rPr>
          <w:rFonts w:cs="Times New Roman"/>
          <w:i/>
        </w:rPr>
      </w:pPr>
      <w:r w:rsidRPr="00654E3B">
        <w:rPr>
          <w:rFonts w:cs="Times New Roman"/>
          <w:i/>
        </w:rPr>
        <w:t xml:space="preserve">Tablica III.1-6: Projekcije proizvodnje i uvoza energije u NU2 scenariju </w:t>
      </w:r>
    </w:p>
    <w:tbl>
      <w:tblPr>
        <w:tblW w:w="7086" w:type="dxa"/>
        <w:tblLook w:val="04A0" w:firstRow="1" w:lastRow="0" w:firstColumn="1" w:lastColumn="0" w:noHBand="0" w:noVBand="1"/>
      </w:tblPr>
      <w:tblGrid>
        <w:gridCol w:w="2835"/>
        <w:gridCol w:w="1417"/>
        <w:gridCol w:w="1417"/>
        <w:gridCol w:w="1417"/>
      </w:tblGrid>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GWh</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2030.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2040.</w:t>
            </w:r>
          </w:p>
        </w:tc>
        <w:tc>
          <w:tcPr>
            <w:tcW w:w="1417" w:type="dxa"/>
            <w:tcBorders>
              <w:top w:val="single" w:sz="4" w:space="0" w:color="auto"/>
              <w:left w:val="none" w:sz="4" w:space="0" w:color="000000"/>
              <w:bottom w:val="single" w:sz="4" w:space="0" w:color="auto"/>
              <w:right w:val="single" w:sz="4" w:space="0" w:color="auto"/>
            </w:tcBorders>
            <w:shd w:val="clear" w:color="auto" w:fill="F2F2F2" w:themeFill="background1" w:themeFillShade="F2"/>
            <w:noWrap/>
            <w:vAlign w:val="center"/>
          </w:tcPr>
          <w:p w:rsidR="007D4A93" w:rsidRPr="00654E3B" w:rsidRDefault="00EF0BEB">
            <w:pPr>
              <w:keepNext/>
              <w:spacing w:line="240" w:lineRule="auto"/>
              <w:jc w:val="center"/>
              <w:rPr>
                <w:rFonts w:eastAsia="Times New Roman" w:cs="Times New Roman"/>
                <w:b/>
                <w:color w:val="000000"/>
                <w:sz w:val="20"/>
                <w:lang w:eastAsia="hr-HR"/>
              </w:rPr>
            </w:pPr>
            <w:r w:rsidRPr="00654E3B">
              <w:rPr>
                <w:rFonts w:eastAsia="Times New Roman" w:cs="Times New Roman"/>
                <w:b/>
                <w:color w:val="000000"/>
                <w:sz w:val="20"/>
                <w:lang w:eastAsia="hr-HR"/>
              </w:rPr>
              <w:t>2050.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Domaća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4797,6</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4471,4</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4039,0</w:t>
            </w:r>
          </w:p>
        </w:tc>
      </w:tr>
      <w:tr w:rsidR="007D4A93" w:rsidRPr="00654E3B">
        <w:trPr>
          <w:trHeight w:val="340"/>
        </w:trPr>
        <w:tc>
          <w:tcPr>
            <w:tcW w:w="283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Uvozna energija</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3609,9</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3049,1</w:t>
            </w:r>
          </w:p>
        </w:tc>
        <w:tc>
          <w:tcPr>
            <w:tcW w:w="1417" w:type="dxa"/>
            <w:tcBorders>
              <w:top w:val="none" w:sz="4" w:space="0" w:color="000000"/>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2480,2</w:t>
            </w:r>
          </w:p>
        </w:tc>
      </w:tr>
      <w:tr w:rsidR="007D4A93" w:rsidRPr="00654E3B">
        <w:trPr>
          <w:trHeight w:val="340"/>
        </w:trPr>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7D4A93" w:rsidRPr="00654E3B" w:rsidRDefault="00EF0BEB">
            <w:pPr>
              <w:spacing w:line="240" w:lineRule="auto"/>
              <w:jc w:val="left"/>
              <w:rPr>
                <w:rFonts w:eastAsia="Times New Roman" w:cs="Times New Roman"/>
                <w:color w:val="000000"/>
                <w:sz w:val="20"/>
                <w:lang w:eastAsia="hr-HR"/>
              </w:rPr>
            </w:pPr>
            <w:r w:rsidRPr="00654E3B">
              <w:rPr>
                <w:rFonts w:eastAsia="Times New Roman" w:cs="Times New Roman"/>
                <w:color w:val="000000"/>
                <w:sz w:val="20"/>
                <w:lang w:eastAsia="hr-HR"/>
              </w:rPr>
              <w:t>Ukupno</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8407,5</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7520,4</w:t>
            </w:r>
          </w:p>
        </w:tc>
        <w:tc>
          <w:tcPr>
            <w:tcW w:w="1417" w:type="dxa"/>
            <w:tcBorders>
              <w:top w:val="single" w:sz="4" w:space="0" w:color="auto"/>
              <w:left w:val="none" w:sz="4" w:space="0" w:color="000000"/>
              <w:bottom w:val="single" w:sz="4" w:space="0" w:color="auto"/>
              <w:right w:val="single" w:sz="4" w:space="0" w:color="auto"/>
            </w:tcBorders>
            <w:noWrap/>
            <w:vAlign w:val="center"/>
          </w:tcPr>
          <w:p w:rsidR="007D4A93" w:rsidRPr="00654E3B" w:rsidRDefault="00EF0BEB">
            <w:pPr>
              <w:keepNext/>
              <w:jc w:val="center"/>
              <w:rPr>
                <w:rFonts w:eastAsia="Times New Roman" w:cs="Times New Roman"/>
                <w:color w:val="000000"/>
                <w:sz w:val="20"/>
                <w:lang w:eastAsia="hr-HR"/>
              </w:rPr>
            </w:pPr>
            <w:r w:rsidRPr="00654E3B">
              <w:rPr>
                <w:rFonts w:eastAsia="Times New Roman" w:cs="Times New Roman"/>
                <w:color w:val="000000"/>
                <w:sz w:val="20"/>
                <w:lang w:eastAsia="hr-HR"/>
              </w:rPr>
              <w:t>6519,2</w:t>
            </w:r>
          </w:p>
        </w:tc>
      </w:tr>
    </w:tbl>
    <w:p w:rsidR="007D4A93" w:rsidRPr="00654E3B" w:rsidRDefault="00EF0BEB">
      <w:pPr>
        <w:pStyle w:val="Heading2"/>
        <w:rPr>
          <w:rFonts w:ascii="Times New Roman" w:hAnsi="Times New Roman" w:cs="Times New Roman"/>
        </w:rPr>
      </w:pPr>
      <w:bookmarkStart w:id="379" w:name="_Toc69810233"/>
      <w:r w:rsidRPr="00654E3B">
        <w:rPr>
          <w:rFonts w:ascii="Times New Roman" w:hAnsi="Times New Roman" w:cs="Times New Roman"/>
        </w:rPr>
        <w:t xml:space="preserve">III.2. </w:t>
      </w:r>
      <w:r w:rsidRPr="00654E3B">
        <w:rPr>
          <w:rFonts w:ascii="Times New Roman" w:hAnsi="Times New Roman" w:cs="Times New Roman"/>
        </w:rPr>
        <w:tab/>
        <w:t>INDUSTRIJA</w:t>
      </w:r>
      <w:bookmarkEnd w:id="379"/>
    </w:p>
    <w:p w:rsidR="007D4A93" w:rsidRPr="00654E3B" w:rsidRDefault="007D4A93">
      <w:pPr>
        <w:keepNext/>
        <w:rPr>
          <w:rFonts w:cs="Times New Roman"/>
        </w:rPr>
      </w:pPr>
    </w:p>
    <w:p w:rsidR="007D4A93" w:rsidRPr="00654E3B" w:rsidRDefault="00EF0BEB">
      <w:pPr>
        <w:pStyle w:val="NormalWeb"/>
        <w:keepNext/>
        <w:rPr>
          <w:rFonts w:eastAsia="MS Mincho" w:cs="Times New Roman"/>
          <w:lang w:eastAsia="hr-HR"/>
        </w:rPr>
      </w:pPr>
      <w:r w:rsidRPr="00654E3B">
        <w:rPr>
          <w:rFonts w:eastAsia="MS Mincho" w:cs="Times New Roman"/>
          <w:lang w:eastAsia="hr-HR"/>
        </w:rPr>
        <w:t>Prerađivačka industrija</w:t>
      </w:r>
    </w:p>
    <w:p w:rsidR="007D4A93" w:rsidRPr="00654E3B" w:rsidRDefault="00EF0BEB">
      <w:pPr>
        <w:pStyle w:val="NormalWeb"/>
        <w:keepNext/>
        <w:rPr>
          <w:rFonts w:eastAsia="MS Mincho" w:cs="Times New Roman"/>
          <w:lang w:eastAsia="hr-HR"/>
        </w:rPr>
      </w:pPr>
      <w:r w:rsidRPr="00654E3B">
        <w:rPr>
          <w:rFonts w:eastAsia="MS Mincho" w:cs="Times New Roman"/>
          <w:lang w:eastAsia="hr-HR"/>
        </w:rPr>
        <w:t>Scenarij uključuje intenzivniju primjenu procesnih mjera koje se odnose na postupno smanjenje udjela klinkera u proizvodnji cementa (30</w:t>
      </w:r>
      <w:r w:rsidR="00060992" w:rsidRPr="00654E3B">
        <w:rPr>
          <w:rFonts w:eastAsia="MS Mincho" w:cs="Times New Roman"/>
          <w:lang w:eastAsia="hr-HR"/>
        </w:rPr>
        <w:t xml:space="preserve"> %</w:t>
      </w:r>
      <w:r w:rsidRPr="00654E3B">
        <w:rPr>
          <w:rFonts w:eastAsia="MS Mincho" w:cs="Times New Roman"/>
          <w:lang w:eastAsia="hr-HR"/>
        </w:rPr>
        <w:t xml:space="preserve"> u 2050. godini) te mjere hvatanja i skladištenja CO</w:t>
      </w:r>
      <w:r w:rsidRPr="00654E3B">
        <w:rPr>
          <w:rFonts w:eastAsia="MS Mincho" w:cs="Times New Roman"/>
          <w:vertAlign w:val="subscript"/>
          <w:lang w:eastAsia="hr-HR"/>
        </w:rPr>
        <w:t>2</w:t>
      </w:r>
      <w:r w:rsidRPr="00654E3B">
        <w:rPr>
          <w:rFonts w:eastAsia="MS Mincho" w:cs="Times New Roman"/>
          <w:lang w:eastAsia="hr-HR"/>
        </w:rPr>
        <w:t xml:space="preserve"> u postrojenjima za proizvodnju cementa od 2040. godine kao i smanjenje emisije kontroliranih tvari i fluoriranih stakleničkih plinova tijekom cijelog promatranog razdoblja do 2050. godine. Dodatno, predviđa se povećano korištenje biomase u industrijskim toplanama i kogeneracijama.</w:t>
      </w:r>
    </w:p>
    <w:p w:rsidR="007D4A93" w:rsidRPr="00654E3B" w:rsidRDefault="00EF0BEB">
      <w:pPr>
        <w:rPr>
          <w:rFonts w:cs="Times New Roman"/>
          <w:u w:val="single"/>
        </w:rPr>
      </w:pPr>
      <w:r w:rsidRPr="00654E3B">
        <w:rPr>
          <w:rFonts w:cs="Times New Roman"/>
          <w:u w:val="single"/>
        </w:rPr>
        <w:t>Uporaba zamjenskih tvari za tvari koje oštećuju ozonski sloj</w:t>
      </w:r>
    </w:p>
    <w:p w:rsidR="007D4A93" w:rsidRPr="00654E3B" w:rsidRDefault="00EF0BEB">
      <w:pPr>
        <w:rPr>
          <w:rFonts w:cs="Times New Roman"/>
        </w:rPr>
      </w:pPr>
      <w:r w:rsidRPr="00654E3B">
        <w:rPr>
          <w:rFonts w:cs="Times New Roman"/>
        </w:rPr>
        <w:lastRenderedPageBreak/>
        <w:t>Scenarij NU2 uključuje intenzivnije smanjenje fluoriranih stakleničkih plinova dostupnih na tržištu nakon 2030. godine, u odnosu na scenarij NU1. U scenarij NU2 uključene su pretpostavke o broju vozila, što je povezano s intenzivnijim smanjenjem emisija fluoriranih stakleničkih plinova iz mobilnih sustava za klimatiziranje.</w:t>
      </w:r>
      <w:r w:rsidRPr="00654E3B">
        <w:rPr>
          <w:rFonts w:eastAsia="MS Mincho" w:cs="Times New Roman"/>
          <w:szCs w:val="24"/>
          <w:lang w:eastAsia="ja-JP"/>
        </w:rPr>
        <w:t xml:space="preserve"> </w:t>
      </w:r>
    </w:p>
    <w:p w:rsidR="007D4A93" w:rsidRPr="00654E3B" w:rsidRDefault="00EF0BEB">
      <w:pPr>
        <w:pStyle w:val="Heading2"/>
        <w:rPr>
          <w:rFonts w:ascii="Times New Roman" w:hAnsi="Times New Roman" w:cs="Times New Roman"/>
        </w:rPr>
      </w:pPr>
      <w:bookmarkStart w:id="380" w:name="_Toc69810234"/>
      <w:r w:rsidRPr="00654E3B">
        <w:rPr>
          <w:rFonts w:ascii="Times New Roman" w:hAnsi="Times New Roman" w:cs="Times New Roman"/>
        </w:rPr>
        <w:t xml:space="preserve">III.3. </w:t>
      </w:r>
      <w:r w:rsidRPr="00654E3B">
        <w:rPr>
          <w:rFonts w:ascii="Times New Roman" w:hAnsi="Times New Roman" w:cs="Times New Roman"/>
        </w:rPr>
        <w:tab/>
        <w:t>PROMET</w:t>
      </w:r>
      <w:bookmarkEnd w:id="380"/>
    </w:p>
    <w:p w:rsidR="007D4A93" w:rsidRPr="00654E3B" w:rsidRDefault="007D4A93">
      <w:pPr>
        <w:rPr>
          <w:rFonts w:cs="Times New Roman"/>
        </w:rPr>
      </w:pPr>
    </w:p>
    <w:p w:rsidR="007D4A93" w:rsidRPr="00654E3B" w:rsidRDefault="00EF0BEB">
      <w:pPr>
        <w:rPr>
          <w:rFonts w:cs="Times New Roman"/>
        </w:rPr>
      </w:pPr>
      <w:r w:rsidRPr="00654E3B">
        <w:rPr>
          <w:rFonts w:cs="Times New Roman"/>
        </w:rPr>
        <w:t xml:space="preserve">Sektor prometa u NU2 scenariju modeliran je s osnovnom pretpostavkom </w:t>
      </w:r>
      <w:r w:rsidR="00982D90" w:rsidRPr="00654E3B">
        <w:rPr>
          <w:rFonts w:cs="Times New Roman"/>
        </w:rPr>
        <w:t xml:space="preserve">snažnog povećanja udjela </w:t>
      </w:r>
      <w:r w:rsidRPr="00654E3B">
        <w:rPr>
          <w:rFonts w:cs="Times New Roman"/>
        </w:rPr>
        <w:t>električnih vozila.</w:t>
      </w:r>
    </w:p>
    <w:p w:rsidR="007D4A93" w:rsidRPr="00654E3B" w:rsidRDefault="00EF0BEB">
      <w:pPr>
        <w:rPr>
          <w:rFonts w:cs="Times New Roman"/>
        </w:rPr>
      </w:pPr>
      <w:r w:rsidRPr="00654E3B">
        <w:rPr>
          <w:rFonts w:cs="Times New Roman"/>
        </w:rPr>
        <w:t>Uključene su sljedeće pretpostavke i mjere u scenariju NU2:</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porast udjela električnih automobila na 61</w:t>
      </w:r>
      <w:r w:rsidR="00060992" w:rsidRPr="00654E3B">
        <w:rPr>
          <w:rFonts w:cs="Times New Roman"/>
        </w:rPr>
        <w:t xml:space="preserve"> %</w:t>
      </w:r>
      <w:r w:rsidRPr="00654E3B">
        <w:rPr>
          <w:rFonts w:cs="Times New Roman"/>
        </w:rPr>
        <w:t xml:space="preserve"> od ukupnog broja automobila u 2050. godini, 1,23 milijuna električnih automobila u 2050. godini,</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porast broja hibridnih i plug-in hibridnih vozila na 14,7</w:t>
      </w:r>
      <w:r w:rsidR="00060992" w:rsidRPr="00654E3B">
        <w:rPr>
          <w:rFonts w:cs="Times New Roman"/>
        </w:rPr>
        <w:t xml:space="preserve"> %</w:t>
      </w:r>
      <w:r w:rsidRPr="00654E3B">
        <w:rPr>
          <w:rFonts w:cs="Times New Roman"/>
        </w:rPr>
        <w:t xml:space="preserve"> (2,8</w:t>
      </w:r>
      <w:r w:rsidR="00060992" w:rsidRPr="00654E3B">
        <w:rPr>
          <w:rFonts w:cs="Times New Roman"/>
        </w:rPr>
        <w:t xml:space="preserve"> %</w:t>
      </w:r>
      <w:r w:rsidRPr="00654E3B">
        <w:rPr>
          <w:rFonts w:cs="Times New Roman"/>
        </w:rPr>
        <w:t xml:space="preserve"> hibridnih i 11,9</w:t>
      </w:r>
      <w:r w:rsidR="00060992" w:rsidRPr="00654E3B">
        <w:rPr>
          <w:rFonts w:cs="Times New Roman"/>
        </w:rPr>
        <w:t xml:space="preserve"> %</w:t>
      </w:r>
      <w:r w:rsidRPr="00654E3B">
        <w:rPr>
          <w:rFonts w:cs="Times New Roman"/>
        </w:rPr>
        <w:t xml:space="preserve"> plug-in hibridnih) od ukupnog broja osobnih vozila do 2050. godine, čime bi broj hibridnih i plug-in hibridnih vozila u 2030. godini iznosio oko 69.800, a u 2050. godini ukupno 297.000 vozila.</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porast broja vozila koja koriste vodik nakon 2030. godine na 2,9</w:t>
      </w:r>
      <w:r w:rsidR="00060992" w:rsidRPr="00654E3B">
        <w:rPr>
          <w:rFonts w:cs="Times New Roman"/>
        </w:rPr>
        <w:t xml:space="preserve"> %</w:t>
      </w:r>
      <w:r w:rsidRPr="00654E3B">
        <w:rPr>
          <w:rFonts w:cs="Times New Roman"/>
        </w:rPr>
        <w:t xml:space="preserve"> od ukupnog broja osobnih vozila, odnosno na oko 59.600 vozila u 2050. godini</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porast udjela biogoriva u benzinskim i dizelskim gorivima na prosječnih 27</w:t>
      </w:r>
      <w:r w:rsidR="00060992" w:rsidRPr="00654E3B">
        <w:rPr>
          <w:rFonts w:cs="Times New Roman"/>
        </w:rPr>
        <w:t xml:space="preserve"> %</w:t>
      </w:r>
      <w:r w:rsidRPr="00654E3B">
        <w:rPr>
          <w:rFonts w:cs="Times New Roman"/>
        </w:rPr>
        <w:t xml:space="preserve"> do 2050. godine</w:t>
      </w:r>
    </w:p>
    <w:p w:rsidR="007D4A93" w:rsidRPr="00654E3B" w:rsidRDefault="00EF0BEB" w:rsidP="000C6795">
      <w:pPr>
        <w:pStyle w:val="ListParagraph"/>
        <w:numPr>
          <w:ilvl w:val="0"/>
          <w:numId w:val="66"/>
        </w:numPr>
        <w:spacing w:line="240" w:lineRule="auto"/>
        <w:rPr>
          <w:rFonts w:cs="Times New Roman"/>
        </w:rPr>
      </w:pPr>
      <w:r w:rsidRPr="00654E3B">
        <w:rPr>
          <w:rFonts w:cs="Times New Roman"/>
        </w:rPr>
        <w:t>viša primjenjivost intermodalnosti – porast udjela teretnog prometa ostvaren željezničkim prijevozom (električne lokomotive) na oko 30</w:t>
      </w:r>
      <w:r w:rsidR="00060992" w:rsidRPr="00654E3B">
        <w:rPr>
          <w:rFonts w:cs="Times New Roman"/>
        </w:rPr>
        <w:t xml:space="preserve"> %</w:t>
      </w:r>
      <w:r w:rsidRPr="00654E3B">
        <w:rPr>
          <w:rFonts w:cs="Times New Roman"/>
        </w:rPr>
        <w:t xml:space="preserve"> u 2050. godini </w:t>
      </w:r>
    </w:p>
    <w:p w:rsidR="00DF3C10" w:rsidRPr="00654E3B" w:rsidRDefault="00EF0BEB" w:rsidP="000C6795">
      <w:pPr>
        <w:pStyle w:val="ListParagraph"/>
        <w:numPr>
          <w:ilvl w:val="0"/>
          <w:numId w:val="66"/>
        </w:numPr>
        <w:spacing w:line="240" w:lineRule="auto"/>
        <w:rPr>
          <w:rFonts w:cs="Times New Roman"/>
        </w:rPr>
      </w:pPr>
      <w:r w:rsidRPr="00654E3B">
        <w:rPr>
          <w:rFonts w:cs="Times New Roman"/>
        </w:rPr>
        <w:t>u pomorskom prometu pretpostavlja se da će u 2050. godini udio biogoriva iznositi 20</w:t>
      </w:r>
      <w:r w:rsidR="00060992" w:rsidRPr="00654E3B">
        <w:rPr>
          <w:rFonts w:cs="Times New Roman"/>
        </w:rPr>
        <w:t xml:space="preserve"> %</w:t>
      </w:r>
      <w:r w:rsidRPr="00654E3B">
        <w:rPr>
          <w:rFonts w:cs="Times New Roman"/>
        </w:rPr>
        <w:t>, UPP-a 10</w:t>
      </w:r>
      <w:r w:rsidR="00060992" w:rsidRPr="00654E3B">
        <w:rPr>
          <w:rFonts w:cs="Times New Roman"/>
        </w:rPr>
        <w:t xml:space="preserve"> %</w:t>
      </w:r>
      <w:r w:rsidRPr="00654E3B">
        <w:rPr>
          <w:rFonts w:cs="Times New Roman"/>
        </w:rPr>
        <w:t>.</w:t>
      </w:r>
    </w:p>
    <w:p w:rsidR="00DF3C10" w:rsidRPr="00654E3B" w:rsidRDefault="00DF3C10" w:rsidP="00DF3C10">
      <w:pPr>
        <w:spacing w:line="240" w:lineRule="auto"/>
        <w:ind w:left="360"/>
        <w:rPr>
          <w:rFonts w:cs="Times New Roman"/>
        </w:rPr>
      </w:pPr>
    </w:p>
    <w:p w:rsidR="00D15819" w:rsidRPr="00654E3B" w:rsidRDefault="00D15819" w:rsidP="00D15819">
      <w:pPr>
        <w:pStyle w:val="Heading2"/>
        <w:rPr>
          <w:rFonts w:ascii="Times New Roman" w:hAnsi="Times New Roman" w:cs="Times New Roman"/>
        </w:rPr>
      </w:pPr>
      <w:bookmarkStart w:id="381" w:name="_Toc69810235"/>
      <w:bookmarkStart w:id="382" w:name="_Toc33417213"/>
      <w:r w:rsidRPr="00654E3B">
        <w:rPr>
          <w:rFonts w:ascii="Times New Roman" w:hAnsi="Times New Roman" w:cs="Times New Roman"/>
        </w:rPr>
        <w:t xml:space="preserve">III.4. </w:t>
      </w:r>
      <w:r w:rsidRPr="00654E3B">
        <w:rPr>
          <w:rFonts w:ascii="Times New Roman" w:hAnsi="Times New Roman" w:cs="Times New Roman"/>
        </w:rPr>
        <w:tab/>
        <w:t>SEKTOR OPĆE POTROŠNJE</w:t>
      </w:r>
      <w:bookmarkEnd w:id="381"/>
    </w:p>
    <w:p w:rsidR="00D15819" w:rsidRPr="00654E3B" w:rsidRDefault="00D15819" w:rsidP="00D15819">
      <w:pPr>
        <w:rPr>
          <w:rFonts w:cs="Times New Roman"/>
        </w:rPr>
      </w:pPr>
    </w:p>
    <w:p w:rsidR="00D15819" w:rsidRPr="00654E3B" w:rsidRDefault="00D15819" w:rsidP="00D15819">
      <w:pPr>
        <w:rPr>
          <w:rFonts w:cs="Times New Roman"/>
        </w:rPr>
      </w:pPr>
      <w:r w:rsidRPr="00654E3B">
        <w:rPr>
          <w:rFonts w:cs="Times New Roman"/>
        </w:rPr>
        <w:t>U NU2 scenariju za dostizanje ciljeva potrebne su sljedeće mjere:</w:t>
      </w:r>
    </w:p>
    <w:p w:rsidR="00D15819" w:rsidRPr="00654E3B" w:rsidRDefault="00D15819" w:rsidP="00827D0A">
      <w:pPr>
        <w:pStyle w:val="ListParagraph"/>
        <w:numPr>
          <w:ilvl w:val="0"/>
          <w:numId w:val="67"/>
        </w:numPr>
        <w:spacing w:line="240" w:lineRule="auto"/>
        <w:rPr>
          <w:rFonts w:cs="Times New Roman"/>
        </w:rPr>
      </w:pPr>
      <w:r w:rsidRPr="00654E3B">
        <w:rPr>
          <w:rFonts w:cs="Times New Roman"/>
        </w:rPr>
        <w:t>najznačajniji doprinos smanjenju potrošnji energije daje energetska obnova zgrada – obnova postojećeg fonda zgrada, prikladnog za obnovu, po godišnjoj stopi od 3</w:t>
      </w:r>
      <w:r w:rsidR="00060992" w:rsidRPr="00654E3B">
        <w:rPr>
          <w:rFonts w:cs="Times New Roman"/>
        </w:rPr>
        <w:t xml:space="preserve"> %</w:t>
      </w:r>
      <w:r w:rsidRPr="00654E3B">
        <w:rPr>
          <w:rFonts w:cs="Times New Roman"/>
        </w:rPr>
        <w:t>, čime do 2050. godine cjelokupni fond zgrada postaje niskoenergetski</w:t>
      </w:r>
      <w:r w:rsidR="00827D0A" w:rsidRPr="00654E3B">
        <w:rPr>
          <w:rFonts w:cs="Times New Roman"/>
        </w:rPr>
        <w:t>. U međuvremenu je u prosincu 2020. godine usvojena Dugoročna strategija obnove nacionalnog fonda zgrada do 2050. godine koja je podignuta na 4</w:t>
      </w:r>
      <w:r w:rsidR="00060992" w:rsidRPr="00654E3B">
        <w:rPr>
          <w:rFonts w:cs="Times New Roman"/>
        </w:rPr>
        <w:t xml:space="preserve"> %</w:t>
      </w:r>
      <w:r w:rsidR="008E2244" w:rsidRPr="00654E3B">
        <w:rPr>
          <w:rFonts w:cs="Times New Roman"/>
        </w:rPr>
        <w:t>, ispunjenje koje ovisi o osiguranju financijskih sredstava.</w:t>
      </w:r>
    </w:p>
    <w:p w:rsidR="00D15819" w:rsidRPr="00654E3B" w:rsidRDefault="00D15819" w:rsidP="001B692F">
      <w:pPr>
        <w:pStyle w:val="ListParagraph"/>
        <w:numPr>
          <w:ilvl w:val="0"/>
          <w:numId w:val="67"/>
        </w:numPr>
        <w:spacing w:line="240" w:lineRule="auto"/>
        <w:rPr>
          <w:rFonts w:cs="Times New Roman"/>
        </w:rPr>
      </w:pPr>
      <w:r w:rsidRPr="00654E3B">
        <w:rPr>
          <w:rFonts w:cs="Times New Roman"/>
        </w:rPr>
        <w:t>u sektoru kućanstava predviđena je obnova oko 20.000 stambenih jedinica godišnje.</w:t>
      </w:r>
    </w:p>
    <w:p w:rsidR="00D15819" w:rsidRPr="00654E3B" w:rsidRDefault="00982D90" w:rsidP="00D15819">
      <w:pPr>
        <w:pStyle w:val="ListParagraph"/>
        <w:numPr>
          <w:ilvl w:val="0"/>
          <w:numId w:val="68"/>
        </w:numPr>
        <w:spacing w:line="240" w:lineRule="auto"/>
        <w:rPr>
          <w:rFonts w:cs="Times New Roman"/>
        </w:rPr>
      </w:pPr>
      <w:r w:rsidRPr="00654E3B">
        <w:rPr>
          <w:rFonts w:cs="Times New Roman"/>
        </w:rPr>
        <w:t xml:space="preserve">povećanje udjela </w:t>
      </w:r>
      <w:r w:rsidR="00D15819" w:rsidRPr="00654E3B">
        <w:rPr>
          <w:rFonts w:cs="Times New Roman"/>
        </w:rPr>
        <w:t>električne energije za toplinske namjene je snažno prisutna</w:t>
      </w:r>
    </w:p>
    <w:p w:rsidR="00D15819" w:rsidRPr="00654E3B" w:rsidRDefault="00D15819" w:rsidP="00D15819">
      <w:pPr>
        <w:pStyle w:val="ListParagraph"/>
        <w:numPr>
          <w:ilvl w:val="0"/>
          <w:numId w:val="68"/>
        </w:numPr>
        <w:spacing w:line="240" w:lineRule="auto"/>
        <w:rPr>
          <w:rFonts w:cs="Times New Roman"/>
        </w:rPr>
      </w:pPr>
      <w:r w:rsidRPr="00654E3B">
        <w:rPr>
          <w:rFonts w:cs="Times New Roman"/>
        </w:rPr>
        <w:t>do 2050. godine bi pola stambenog fonda bile novoizgrađene stambene jedinice u odnosu na danas, a u drugoj polovici bi sve stambene jedinice imale poboljšanu toplinsku izolaciju, što rezultira toplinskim potrebama ukupnog stambenog fonda od 34 kWh/m</w:t>
      </w:r>
      <w:r w:rsidRPr="00654E3B">
        <w:rPr>
          <w:rFonts w:cs="Times New Roman"/>
          <w:vertAlign w:val="superscript"/>
        </w:rPr>
        <w:t>2</w:t>
      </w:r>
      <w:r w:rsidRPr="00654E3B">
        <w:rPr>
          <w:rFonts w:cs="Times New Roman"/>
        </w:rPr>
        <w:t xml:space="preserve"> grijane površine</w:t>
      </w:r>
    </w:p>
    <w:p w:rsidR="00D15819" w:rsidRPr="00654E3B" w:rsidRDefault="00D15819" w:rsidP="00D15819">
      <w:pPr>
        <w:pStyle w:val="ListParagraph"/>
        <w:numPr>
          <w:ilvl w:val="0"/>
          <w:numId w:val="68"/>
        </w:numPr>
        <w:spacing w:line="240" w:lineRule="auto"/>
        <w:rPr>
          <w:rFonts w:cs="Times New Roman"/>
        </w:rPr>
      </w:pPr>
      <w:r w:rsidRPr="00654E3B">
        <w:rPr>
          <w:rFonts w:cs="Times New Roman"/>
        </w:rPr>
        <w:t>u 2050. godini kućanstava će se grijati 25</w:t>
      </w:r>
      <w:r w:rsidR="00060992" w:rsidRPr="00654E3B">
        <w:rPr>
          <w:rFonts w:cs="Times New Roman"/>
        </w:rPr>
        <w:t xml:space="preserve"> %</w:t>
      </w:r>
      <w:r w:rsidRPr="00654E3B">
        <w:rPr>
          <w:rFonts w:cs="Times New Roman"/>
        </w:rPr>
        <w:t xml:space="preserve"> modernom biomasom, 45</w:t>
      </w:r>
      <w:r w:rsidR="00060992" w:rsidRPr="00654E3B">
        <w:rPr>
          <w:rFonts w:cs="Times New Roman"/>
        </w:rPr>
        <w:t xml:space="preserve"> %</w:t>
      </w:r>
      <w:r w:rsidRPr="00654E3B">
        <w:rPr>
          <w:rFonts w:cs="Times New Roman"/>
        </w:rPr>
        <w:t xml:space="preserve"> dizalicama topline, 10</w:t>
      </w:r>
      <w:r w:rsidR="00060992" w:rsidRPr="00654E3B">
        <w:rPr>
          <w:rFonts w:cs="Times New Roman"/>
        </w:rPr>
        <w:t xml:space="preserve"> %</w:t>
      </w:r>
      <w:r w:rsidRPr="00654E3B">
        <w:rPr>
          <w:rFonts w:cs="Times New Roman"/>
        </w:rPr>
        <w:t xml:space="preserve"> daljinskim grijanjem i 20</w:t>
      </w:r>
      <w:r w:rsidR="00060992" w:rsidRPr="00654E3B">
        <w:rPr>
          <w:rFonts w:cs="Times New Roman"/>
        </w:rPr>
        <w:t xml:space="preserve"> %</w:t>
      </w:r>
      <w:r w:rsidRPr="00654E3B">
        <w:rPr>
          <w:rFonts w:cs="Times New Roman"/>
        </w:rPr>
        <w:t xml:space="preserve"> prirodnim plinom, 30</w:t>
      </w:r>
      <w:r w:rsidR="00060992" w:rsidRPr="00654E3B">
        <w:rPr>
          <w:rFonts w:cs="Times New Roman"/>
        </w:rPr>
        <w:t xml:space="preserve"> %</w:t>
      </w:r>
      <w:r w:rsidRPr="00654E3B">
        <w:rPr>
          <w:rFonts w:cs="Times New Roman"/>
        </w:rPr>
        <w:t xml:space="preserve"> pripreme tople vode je sunčevim kolektorima</w:t>
      </w:r>
    </w:p>
    <w:p w:rsidR="00D15819" w:rsidRPr="00654E3B" w:rsidRDefault="00D15819" w:rsidP="00D15819">
      <w:pPr>
        <w:pStyle w:val="ListParagraph"/>
        <w:numPr>
          <w:ilvl w:val="0"/>
          <w:numId w:val="68"/>
        </w:numPr>
        <w:rPr>
          <w:rFonts w:cs="Times New Roman"/>
        </w:rPr>
      </w:pPr>
      <w:r w:rsidRPr="00654E3B">
        <w:rPr>
          <w:rFonts w:cs="Times New Roman"/>
        </w:rPr>
        <w:t>površina uslužnog sektora raste, toplinske potrebe se mjerama do 2050. godine svode na 30 kWh/m</w:t>
      </w:r>
      <w:r w:rsidRPr="00654E3B">
        <w:rPr>
          <w:rFonts w:cs="Times New Roman"/>
          <w:vertAlign w:val="superscript"/>
        </w:rPr>
        <w:t>2</w:t>
      </w:r>
      <w:r w:rsidRPr="00654E3B">
        <w:rPr>
          <w:rFonts w:cs="Times New Roman"/>
        </w:rPr>
        <w:t xml:space="preserve">, struktura grijanja i priprema potrošne tople vode slična kao i za kućanstva. </w:t>
      </w:r>
    </w:p>
    <w:p w:rsidR="00D15819" w:rsidRPr="00654E3B" w:rsidRDefault="00D15819" w:rsidP="00D15819">
      <w:pPr>
        <w:pStyle w:val="Heading2"/>
        <w:rPr>
          <w:rFonts w:ascii="Times New Roman" w:hAnsi="Times New Roman" w:cs="Times New Roman"/>
        </w:rPr>
      </w:pPr>
      <w:bookmarkStart w:id="383" w:name="_Toc69810236"/>
      <w:r w:rsidRPr="00654E3B">
        <w:rPr>
          <w:rFonts w:ascii="Times New Roman" w:hAnsi="Times New Roman" w:cs="Times New Roman"/>
        </w:rPr>
        <w:t xml:space="preserve">III.5. </w:t>
      </w:r>
      <w:r w:rsidRPr="00654E3B">
        <w:rPr>
          <w:rFonts w:ascii="Times New Roman" w:hAnsi="Times New Roman" w:cs="Times New Roman"/>
        </w:rPr>
        <w:tab/>
        <w:t>POLJOPRIVREDA</w:t>
      </w:r>
      <w:bookmarkEnd w:id="383"/>
    </w:p>
    <w:p w:rsidR="00D15819" w:rsidRPr="00654E3B" w:rsidRDefault="00D15819" w:rsidP="00D15819">
      <w:pPr>
        <w:rPr>
          <w:rFonts w:cs="Times New Roman"/>
        </w:rPr>
      </w:pPr>
    </w:p>
    <w:p w:rsidR="00D15819" w:rsidRPr="00654E3B" w:rsidRDefault="00D15819" w:rsidP="00D15819">
      <w:pPr>
        <w:rPr>
          <w:rFonts w:cs="Times New Roman"/>
        </w:rPr>
      </w:pPr>
      <w:r w:rsidRPr="00654E3B">
        <w:rPr>
          <w:rFonts w:cs="Times New Roman"/>
        </w:rPr>
        <w:t>Dodatno značajno smanjenje emisije stakleničkih plinova može se ostvariti uz promjene prehrambenih navika društva odnosno primjenom dodatnih mjera u odnosu na NUR i NU1 scenarije:</w:t>
      </w:r>
    </w:p>
    <w:p w:rsidR="00D15819" w:rsidRPr="00654E3B" w:rsidRDefault="00D15819" w:rsidP="00D15819">
      <w:pPr>
        <w:pStyle w:val="ListParagraph"/>
        <w:numPr>
          <w:ilvl w:val="0"/>
          <w:numId w:val="70"/>
        </w:numPr>
        <w:rPr>
          <w:rFonts w:cs="Times New Roman"/>
        </w:rPr>
      </w:pPr>
      <w:r w:rsidRPr="00654E3B">
        <w:rPr>
          <w:rFonts w:cs="Times New Roman"/>
        </w:rPr>
        <w:t xml:space="preserve">Promjena načina prehrane ljudi – </w:t>
      </w:r>
      <w:r w:rsidR="009711C3" w:rsidRPr="00654E3B">
        <w:rPr>
          <w:rFonts w:cs="Times New Roman"/>
        </w:rPr>
        <w:t xml:space="preserve">promjena načina prehrane ljudi u smjeru </w:t>
      </w:r>
      <w:r w:rsidR="009B6E92" w:rsidRPr="00654E3B">
        <w:rPr>
          <w:rFonts w:cs="Times New Roman"/>
        </w:rPr>
        <w:t xml:space="preserve">veće </w:t>
      </w:r>
      <w:r w:rsidR="009711C3" w:rsidRPr="00654E3B">
        <w:rPr>
          <w:rFonts w:cs="Times New Roman"/>
        </w:rPr>
        <w:t xml:space="preserve">konzumacije </w:t>
      </w:r>
      <w:r w:rsidR="009B6E92" w:rsidRPr="00654E3B">
        <w:rPr>
          <w:rFonts w:cs="Times New Roman"/>
        </w:rPr>
        <w:t>namirnice biljnog porijekla</w:t>
      </w:r>
      <w:r w:rsidR="00911A49" w:rsidRPr="00654E3B">
        <w:rPr>
          <w:rFonts w:cs="Times New Roman"/>
        </w:rPr>
        <w:t xml:space="preserve">. </w:t>
      </w:r>
    </w:p>
    <w:p w:rsidR="00D15819" w:rsidRPr="00654E3B" w:rsidRDefault="00D15819" w:rsidP="00D15819">
      <w:pPr>
        <w:pStyle w:val="Heading2"/>
        <w:rPr>
          <w:rFonts w:ascii="Times New Roman" w:hAnsi="Times New Roman" w:cs="Times New Roman"/>
        </w:rPr>
      </w:pPr>
      <w:bookmarkStart w:id="384" w:name="_Toc69810237"/>
      <w:r w:rsidRPr="00654E3B">
        <w:rPr>
          <w:rFonts w:ascii="Times New Roman" w:hAnsi="Times New Roman" w:cs="Times New Roman"/>
        </w:rPr>
        <w:lastRenderedPageBreak/>
        <w:t xml:space="preserve">III.6. </w:t>
      </w:r>
      <w:r w:rsidRPr="00654E3B">
        <w:rPr>
          <w:rFonts w:ascii="Times New Roman" w:hAnsi="Times New Roman" w:cs="Times New Roman"/>
        </w:rPr>
        <w:tab/>
        <w:t>OTPAD</w:t>
      </w:r>
      <w:bookmarkEnd w:id="384"/>
    </w:p>
    <w:p w:rsidR="00D15819" w:rsidRPr="00654E3B" w:rsidRDefault="00D15819" w:rsidP="00D15819">
      <w:pPr>
        <w:rPr>
          <w:rFonts w:cs="Times New Roman"/>
        </w:rPr>
      </w:pPr>
    </w:p>
    <w:p w:rsidR="00D15819" w:rsidRPr="00654E3B" w:rsidRDefault="00D15819" w:rsidP="00D15819">
      <w:pPr>
        <w:rPr>
          <w:rFonts w:cs="Times New Roman"/>
        </w:rPr>
      </w:pPr>
      <w:r w:rsidRPr="00654E3B">
        <w:rPr>
          <w:rFonts w:cs="Times New Roman"/>
        </w:rPr>
        <w:t xml:space="preserve">Scenarij NU2 jednak je scenariju NUR budući </w:t>
      </w:r>
      <w:r w:rsidR="00C773FB" w:rsidRPr="00654E3B">
        <w:rPr>
          <w:rFonts w:cs="Times New Roman"/>
        </w:rPr>
        <w:t xml:space="preserve">da </w:t>
      </w:r>
      <w:r w:rsidRPr="00654E3B">
        <w:rPr>
          <w:rFonts w:cs="Times New Roman"/>
        </w:rPr>
        <w:t xml:space="preserve">nisu raspoznate dodatne mjere za smanjenje emisija. Usporedbenom analizom grupe zemalja sličnih nacionalnih karakteristika utvrđeno je da nacionalno zakonodavstvo, koje je usklađeno s EU zakonodavstvom, propisuje mjere koje sve države članice moraju implementirati do određenog roka te ih razmatraju u okviru scenarija s mjerama (što odgovara NUR scenariju). </w:t>
      </w:r>
    </w:p>
    <w:p w:rsidR="00D15819" w:rsidRPr="00654E3B" w:rsidRDefault="00D15819" w:rsidP="00D15819">
      <w:pPr>
        <w:rPr>
          <w:rFonts w:cs="Times New Roman"/>
        </w:rPr>
      </w:pPr>
      <w:r w:rsidRPr="00654E3B">
        <w:rPr>
          <w:rFonts w:cs="Times New Roman"/>
        </w:rPr>
        <w:br w:type="page"/>
      </w:r>
    </w:p>
    <w:p w:rsidR="007D4A93" w:rsidRPr="00654E3B" w:rsidRDefault="00EF0BEB">
      <w:pPr>
        <w:pStyle w:val="Heading1"/>
        <w:rPr>
          <w:rFonts w:ascii="Times New Roman" w:hAnsi="Times New Roman" w:cs="Times New Roman"/>
        </w:rPr>
      </w:pPr>
      <w:bookmarkStart w:id="385" w:name="_Toc69810238"/>
      <w:r w:rsidRPr="00654E3B">
        <w:rPr>
          <w:rFonts w:ascii="Times New Roman" w:hAnsi="Times New Roman" w:cs="Times New Roman"/>
        </w:rPr>
        <w:lastRenderedPageBreak/>
        <w:t>PRILOG IV.  -  REZULTATI ANALIZE OSJETLJIVOSTI</w:t>
      </w:r>
      <w:bookmarkEnd w:id="377"/>
      <w:bookmarkEnd w:id="378"/>
      <w:bookmarkEnd w:id="382"/>
      <w:bookmarkEnd w:id="385"/>
    </w:p>
    <w:p w:rsidR="007D4A93" w:rsidRPr="00654E3B" w:rsidRDefault="007D4A93">
      <w:pPr>
        <w:rPr>
          <w:rFonts w:cs="Times New Roman"/>
        </w:rPr>
      </w:pPr>
    </w:p>
    <w:p w:rsidR="007D4A93" w:rsidRPr="00654E3B" w:rsidRDefault="00AB3E65">
      <w:pPr>
        <w:rPr>
          <w:rFonts w:cs="Times New Roman"/>
        </w:rPr>
      </w:pPr>
      <w:r w:rsidRPr="00654E3B">
        <w:rPr>
          <w:rFonts w:cs="Times New Roman"/>
        </w:rPr>
        <w:t xml:space="preserve">EU </w:t>
      </w:r>
      <w:r w:rsidR="00EF0BEB" w:rsidRPr="00654E3B">
        <w:rPr>
          <w:rFonts w:cs="Times New Roman"/>
        </w:rPr>
        <w:t>Uredba</w:t>
      </w:r>
      <w:r w:rsidRPr="00654E3B">
        <w:rPr>
          <w:rFonts w:cs="Times New Roman"/>
        </w:rPr>
        <w:t xml:space="preserve"> o upravljanju</w:t>
      </w:r>
      <w:r w:rsidR="00EF0BEB" w:rsidRPr="00654E3B">
        <w:rPr>
          <w:rFonts w:cs="Times New Roman"/>
          <w:szCs w:val="24"/>
        </w:rPr>
        <w:t xml:space="preserve"> </w:t>
      </w:r>
      <w:r w:rsidR="00EF0BEB" w:rsidRPr="00654E3B">
        <w:rPr>
          <w:rFonts w:cs="Times New Roman"/>
        </w:rPr>
        <w:t xml:space="preserve">preporuča da bi za nacionalne scenarije trebalo koristiti, koliko je to moguće i opravdano,  pretpostavke i polazne podatke koji su korišteni za zajedničke projekcije EU. </w:t>
      </w:r>
    </w:p>
    <w:p w:rsidR="007D4A93" w:rsidRPr="00654E3B" w:rsidRDefault="00EF0BEB">
      <w:pPr>
        <w:rPr>
          <w:rFonts w:cs="Times New Roman"/>
        </w:rPr>
      </w:pPr>
      <w:r w:rsidRPr="00654E3B">
        <w:rPr>
          <w:rFonts w:cs="Times New Roman"/>
        </w:rPr>
        <w:t>U lipnju 2018. godine EK izradila je dokument Preporučeni usklađeni parametri za potrebe izrade nacionalnih projekcija, integriranih planova i dugoročnih strategija</w:t>
      </w:r>
      <w:r w:rsidRPr="00F01191">
        <w:rPr>
          <w:rStyle w:val="FootnoteReference"/>
          <w:rFonts w:ascii="Times New Roman" w:hAnsi="Times New Roman" w:cs="Times New Roman"/>
        </w:rPr>
        <w:footnoteReference w:id="7"/>
      </w:r>
      <w:r w:rsidRPr="00F01191">
        <w:rPr>
          <w:rFonts w:cs="Times New Roman"/>
        </w:rPr>
        <w:t>. Preporučeni parametri uključuju projekcije</w:t>
      </w:r>
      <w:r w:rsidRPr="00654E3B">
        <w:rPr>
          <w:rFonts w:cs="Times New Roman"/>
        </w:rPr>
        <w:t xml:space="preserve"> demografskog razvoja, stopa BDP-a, bruto dodane vrijednosti pojedinih industrijskih grana, projekcije cijene goriva te emisijskih jedinica. U slučaju odstupanja, odnosno ne korištenja preporučenih parametra, potrebno je izraditi analizu osjetljivosti i odrediti promjene u emisijama stakleničkih plinova.</w:t>
      </w:r>
    </w:p>
    <w:p w:rsidR="007D4A93" w:rsidRPr="00654E3B" w:rsidRDefault="00EF0BEB">
      <w:pPr>
        <w:rPr>
          <w:rFonts w:cs="Times New Roman"/>
        </w:rPr>
      </w:pPr>
      <w:r w:rsidRPr="00654E3B">
        <w:rPr>
          <w:rFonts w:cs="Times New Roman"/>
        </w:rPr>
        <w:t xml:space="preserve">Ključne razlike u polaznim podacima nacionalnih NUR, NU1 i NU2 scenarija i polaznih podataka koje koristi EU u zajedničkim scenarijima su projekcije broja stanovnika i projekcije BDP-a te su u nastavku prikazani rezultati analize osjetljivosti, odnosno razlike u emisijama stakleničkih plinova ovisno o razlikama tih parametara demografskog i gospodarskog razvoja. </w:t>
      </w:r>
    </w:p>
    <w:p w:rsidR="007D4A93" w:rsidRPr="00654E3B" w:rsidRDefault="00EF0BEB">
      <w:pPr>
        <w:rPr>
          <w:rFonts w:cs="Times New Roman"/>
        </w:rPr>
      </w:pPr>
      <w:r w:rsidRPr="00654E3B">
        <w:rPr>
          <w:rFonts w:cs="Times New Roman"/>
        </w:rPr>
        <w:t>U sva tri promatrana scenarija (NUR, NU1, NU2) demografski i gospodarski parametri su isti (opisani u Poglavlju 3.3.1.).</w:t>
      </w:r>
    </w:p>
    <w:p w:rsidR="007D4A93" w:rsidRPr="00654E3B" w:rsidRDefault="00EF0BEB">
      <w:pPr>
        <w:rPr>
          <w:rFonts w:cs="Times New Roman"/>
          <w:u w:val="single"/>
        </w:rPr>
      </w:pPr>
      <w:r w:rsidRPr="00654E3B">
        <w:rPr>
          <w:rFonts w:cs="Times New Roman"/>
          <w:u w:val="single"/>
        </w:rPr>
        <w:t>Stopa BDP-a</w:t>
      </w:r>
    </w:p>
    <w:p w:rsidR="007D4A93" w:rsidRPr="00654E3B" w:rsidRDefault="00EF0BEB">
      <w:pPr>
        <w:rPr>
          <w:rFonts w:cs="Times New Roman"/>
        </w:rPr>
      </w:pPr>
      <w:r w:rsidRPr="00654E3B">
        <w:rPr>
          <w:rFonts w:cs="Times New Roman"/>
        </w:rPr>
        <w:t>U analiziranim scenarijima pretpostavljen je porast BDP-a u prosjeku 2,0</w:t>
      </w:r>
      <w:r w:rsidR="00060992" w:rsidRPr="00654E3B">
        <w:rPr>
          <w:rFonts w:cs="Times New Roman"/>
        </w:rPr>
        <w:t xml:space="preserve"> %</w:t>
      </w:r>
      <w:r w:rsidRPr="00654E3B">
        <w:rPr>
          <w:rFonts w:cs="Times New Roman"/>
        </w:rPr>
        <w:t xml:space="preserve"> do 2050. godine, što čini nominalno povećanje u odnosu na 2016. godinu za 93,4</w:t>
      </w:r>
      <w:r w:rsidR="00060992" w:rsidRPr="00654E3B">
        <w:rPr>
          <w:rFonts w:cs="Times New Roman"/>
        </w:rPr>
        <w:t xml:space="preserve"> %</w:t>
      </w:r>
      <w:r w:rsidRPr="00654E3B">
        <w:rPr>
          <w:rFonts w:cs="Times New Roman"/>
        </w:rPr>
        <w:t xml:space="preserve">. </w:t>
      </w:r>
    </w:p>
    <w:p w:rsidR="007D4A93" w:rsidRPr="00654E3B" w:rsidRDefault="00EF0BEB">
      <w:pPr>
        <w:rPr>
          <w:rFonts w:cs="Times New Roman"/>
        </w:rPr>
      </w:pPr>
      <w:r w:rsidRPr="00654E3B">
        <w:rPr>
          <w:rFonts w:cs="Times New Roman"/>
        </w:rPr>
        <w:t>Preporučene stope rasta BDP-a u dokumentu Preporučeni usklađeni parametri za potrebe izrade nacionalnih projekcija, integriranih planova i dugoročnih strategija pretpostavljaju porast BDP-a do 2050. godine, u prosjeku 1,7</w:t>
      </w:r>
      <w:r w:rsidR="00060992" w:rsidRPr="00654E3B">
        <w:rPr>
          <w:rFonts w:cs="Times New Roman"/>
        </w:rPr>
        <w:t xml:space="preserve"> %</w:t>
      </w:r>
      <w:r w:rsidRPr="00654E3B">
        <w:rPr>
          <w:rFonts w:cs="Times New Roman"/>
        </w:rPr>
        <w:t xml:space="preserve"> do 2050. godine, što čini nominalno povećanje u odnosu na 2016. godinu za 77,3</w:t>
      </w:r>
      <w:r w:rsidR="00060992" w:rsidRPr="00654E3B">
        <w:rPr>
          <w:rFonts w:cs="Times New Roman"/>
        </w:rPr>
        <w:t xml:space="preserve"> %</w:t>
      </w:r>
      <w:r w:rsidRPr="00654E3B">
        <w:rPr>
          <w:rFonts w:cs="Times New Roman"/>
        </w:rPr>
        <w:t xml:space="preserve">. </w:t>
      </w:r>
    </w:p>
    <w:p w:rsidR="007D4A93" w:rsidRPr="00654E3B" w:rsidRDefault="00EF0BEB">
      <w:pPr>
        <w:rPr>
          <w:rFonts w:cs="Times New Roman"/>
        </w:rPr>
      </w:pPr>
      <w:r w:rsidRPr="00654E3B">
        <w:rPr>
          <w:rFonts w:cs="Times New Roman"/>
        </w:rPr>
        <w:t>Uz korištenje preporučenih stopa rasta BDP-a, emisija stakleničkih plinova u 2030. godini manja je za oko 1,2</w:t>
      </w:r>
      <w:r w:rsidR="00060992" w:rsidRPr="00654E3B">
        <w:rPr>
          <w:rFonts w:cs="Times New Roman"/>
        </w:rPr>
        <w:t xml:space="preserve"> %</w:t>
      </w:r>
      <w:r w:rsidRPr="00654E3B">
        <w:rPr>
          <w:rFonts w:cs="Times New Roman"/>
        </w:rPr>
        <w:t xml:space="preserve"> u odnosu na NUR, NU1 i NU2 scenarije. Emisija stakleničkih plinova u 2050. godini manja je za 1,2</w:t>
      </w:r>
      <w:r w:rsidR="00060992" w:rsidRPr="00654E3B">
        <w:rPr>
          <w:rFonts w:cs="Times New Roman"/>
        </w:rPr>
        <w:t xml:space="preserve"> %</w:t>
      </w:r>
      <w:r w:rsidRPr="00654E3B">
        <w:rPr>
          <w:rFonts w:cs="Times New Roman"/>
        </w:rPr>
        <w:t>, 1,3</w:t>
      </w:r>
      <w:r w:rsidR="00060992" w:rsidRPr="00654E3B">
        <w:rPr>
          <w:rFonts w:cs="Times New Roman"/>
        </w:rPr>
        <w:t xml:space="preserve"> %</w:t>
      </w:r>
      <w:r w:rsidRPr="00654E3B">
        <w:rPr>
          <w:rFonts w:cs="Times New Roman"/>
        </w:rPr>
        <w:t xml:space="preserve"> i 0,7</w:t>
      </w:r>
      <w:r w:rsidR="00060992" w:rsidRPr="00654E3B">
        <w:rPr>
          <w:rFonts w:cs="Times New Roman"/>
        </w:rPr>
        <w:t xml:space="preserve"> %</w:t>
      </w:r>
      <w:r w:rsidRPr="00654E3B">
        <w:rPr>
          <w:rFonts w:cs="Times New Roman"/>
        </w:rPr>
        <w:t xml:space="preserve"> u odnosu na NUR, NU1 i NU2 scenarije, a uz pretpostavku jednake ugljične intenzivnosti gospodarstva. Međutim, provedbom mjera za smanjenje emisija smanjuje se, a u dugom roku i prekida veza između BDP-a i emisija. Dakle, rast BDP-a doprinosi smanjenju emisija kada do njega dolazi kroz ulaganja u niskougljične tehnologije, industriju i usluge.</w:t>
      </w:r>
    </w:p>
    <w:p w:rsidR="007D4A93" w:rsidRPr="00654E3B" w:rsidRDefault="00EF0BEB">
      <w:pPr>
        <w:rPr>
          <w:rFonts w:cs="Times New Roman"/>
          <w:u w:val="single"/>
        </w:rPr>
      </w:pPr>
      <w:r w:rsidRPr="00654E3B">
        <w:rPr>
          <w:rFonts w:cs="Times New Roman"/>
          <w:u w:val="single"/>
        </w:rPr>
        <w:t>Kretanje broja stanovnika</w:t>
      </w:r>
    </w:p>
    <w:p w:rsidR="007D4A93" w:rsidRPr="00654E3B" w:rsidRDefault="00EF0BEB">
      <w:pPr>
        <w:rPr>
          <w:rFonts w:cs="Times New Roman"/>
        </w:rPr>
      </w:pPr>
      <w:r w:rsidRPr="00654E3B">
        <w:rPr>
          <w:rFonts w:cs="Times New Roman"/>
        </w:rPr>
        <w:t>NUR, NU1 i NU2 scenariji napravljeni su uz pretpostavku da u Republici Hrvatskoj broj stanovnika u 2030. iznosi 3.755.419, a u 2050. 3.295.443. Preporučeni parametri projekcija demografskog razvoja iz dokumenta Preporučeni usklađeni parametri za potrebe izrade nacionalnih projekcija, integriranih planova i dugoročnih strategija daju 8,7</w:t>
      </w:r>
      <w:r w:rsidR="00060992" w:rsidRPr="00654E3B">
        <w:rPr>
          <w:rFonts w:cs="Times New Roman"/>
        </w:rPr>
        <w:t xml:space="preserve"> %</w:t>
      </w:r>
      <w:r w:rsidRPr="00654E3B">
        <w:rPr>
          <w:rFonts w:cs="Times New Roman"/>
        </w:rPr>
        <w:t xml:space="preserve"> više stanovnika u 2030. godini, odnosno 16</w:t>
      </w:r>
      <w:r w:rsidR="00060992" w:rsidRPr="00654E3B">
        <w:rPr>
          <w:rFonts w:cs="Times New Roman"/>
        </w:rPr>
        <w:t xml:space="preserve"> %</w:t>
      </w:r>
      <w:r w:rsidRPr="00654E3B">
        <w:rPr>
          <w:rFonts w:cs="Times New Roman"/>
        </w:rPr>
        <w:t xml:space="preserve"> stanovnika više u 2050. godini, u odnosu na pretpostavljeni broj stanovnika u NUR, NU1 i NU2 scenarijima.</w:t>
      </w:r>
    </w:p>
    <w:p w:rsidR="007D4A93" w:rsidRPr="00654E3B" w:rsidRDefault="00EF0BEB">
      <w:pPr>
        <w:rPr>
          <w:rFonts w:cs="Times New Roman"/>
        </w:rPr>
      </w:pPr>
      <w:r w:rsidRPr="00654E3B">
        <w:rPr>
          <w:rFonts w:cs="Times New Roman"/>
        </w:rPr>
        <w:t>Niskougljičnim scenarijima odvaja se BDP od emisija stakleničkih plinova, a  isto tako i emisija po stanovniku pada. U NU1 scenariju u 2030. godini iznosi 5,6 tCO</w:t>
      </w:r>
      <w:r w:rsidRPr="00654E3B">
        <w:rPr>
          <w:rFonts w:cs="Times New Roman"/>
          <w:vertAlign w:val="subscript"/>
        </w:rPr>
        <w:t>2</w:t>
      </w:r>
      <w:r w:rsidRPr="00654E3B">
        <w:rPr>
          <w:rFonts w:cs="Times New Roman"/>
        </w:rPr>
        <w:t>e/stan, a u 2050. godini 4,2 tCO</w:t>
      </w:r>
      <w:r w:rsidRPr="00654E3B">
        <w:rPr>
          <w:rFonts w:cs="Times New Roman"/>
          <w:vertAlign w:val="subscript"/>
        </w:rPr>
        <w:t>2</w:t>
      </w:r>
      <w:r w:rsidRPr="00654E3B">
        <w:rPr>
          <w:rFonts w:cs="Times New Roman"/>
        </w:rPr>
        <w:t>e/stan te 5,4 tCO</w:t>
      </w:r>
      <w:r w:rsidRPr="00654E3B">
        <w:rPr>
          <w:rFonts w:cs="Times New Roman"/>
          <w:vertAlign w:val="subscript"/>
        </w:rPr>
        <w:t>2</w:t>
      </w:r>
      <w:r w:rsidRPr="00654E3B">
        <w:rPr>
          <w:rFonts w:cs="Times New Roman"/>
        </w:rPr>
        <w:t>e/stan 2030. godine u NU2 scenariju, odnosno 2,6 tCO</w:t>
      </w:r>
      <w:r w:rsidRPr="00654E3B">
        <w:rPr>
          <w:rFonts w:cs="Times New Roman"/>
          <w:vertAlign w:val="subscript"/>
        </w:rPr>
        <w:t>2</w:t>
      </w:r>
      <w:r w:rsidRPr="00654E3B">
        <w:rPr>
          <w:rFonts w:cs="Times New Roman"/>
        </w:rPr>
        <w:t xml:space="preserve">e/stan 2050. godine. Varijacije u demografskim kretanjima imaju sve manji utjecaj na emisije i ne mogu bitno promijeniti postavljene trendove. </w:t>
      </w:r>
    </w:p>
    <w:p w:rsidR="007D4A93" w:rsidRPr="00654E3B" w:rsidRDefault="00EF0BEB">
      <w:pPr>
        <w:rPr>
          <w:rFonts w:cs="Times New Roman"/>
        </w:rPr>
      </w:pPr>
      <w:r w:rsidRPr="00654E3B">
        <w:rPr>
          <w:rFonts w:cs="Times New Roman"/>
        </w:rPr>
        <w:t xml:space="preserve">Uz korištenje preporučenih parametara demografskog razvoja iz dokumenta Preporučeni usklađeni parametri za potrebe izrade nacionalnih projekcija, integriranih planova i dugoročnih strategija, emisija </w:t>
      </w:r>
      <w:r w:rsidRPr="00654E3B">
        <w:rPr>
          <w:rFonts w:cs="Times New Roman"/>
        </w:rPr>
        <w:lastRenderedPageBreak/>
        <w:t>stakleničkih plinova u 2030. godini veća je za oko 4</w:t>
      </w:r>
      <w:r w:rsidR="00060992" w:rsidRPr="00654E3B">
        <w:rPr>
          <w:rFonts w:cs="Times New Roman"/>
        </w:rPr>
        <w:t xml:space="preserve"> %</w:t>
      </w:r>
      <w:r w:rsidRPr="00654E3B">
        <w:rPr>
          <w:rFonts w:cs="Times New Roman"/>
        </w:rPr>
        <w:t xml:space="preserve"> u odnosu na NU1 i NU2 scenarije, a u 2050. godini veća je za 4,2</w:t>
      </w:r>
      <w:r w:rsidR="00060992" w:rsidRPr="00654E3B">
        <w:rPr>
          <w:rFonts w:cs="Times New Roman"/>
        </w:rPr>
        <w:t xml:space="preserve"> %</w:t>
      </w:r>
      <w:r w:rsidRPr="00654E3B">
        <w:rPr>
          <w:rFonts w:cs="Times New Roman"/>
        </w:rPr>
        <w:t xml:space="preserve"> odnosno 2,6</w:t>
      </w:r>
      <w:r w:rsidR="00060992" w:rsidRPr="00654E3B">
        <w:rPr>
          <w:rFonts w:cs="Times New Roman"/>
        </w:rPr>
        <w:t xml:space="preserve"> %</w:t>
      </w:r>
      <w:r w:rsidRPr="00654E3B">
        <w:rPr>
          <w:rFonts w:cs="Times New Roman"/>
        </w:rPr>
        <w:t xml:space="preserve"> veća u odnosu NU1 i NU2 scenarije.</w:t>
      </w:r>
    </w:p>
    <w:p w:rsidR="007D4A93" w:rsidRPr="00654E3B" w:rsidRDefault="007D4A93">
      <w:pPr>
        <w:pStyle w:val="Heading1"/>
        <w:rPr>
          <w:rFonts w:ascii="Times New Roman" w:hAnsi="Times New Roman" w:cs="Times New Roman"/>
        </w:rPr>
        <w:sectPr w:rsidR="007D4A93" w:rsidRPr="00654E3B">
          <w:footerReference w:type="default" r:id="rId23"/>
          <w:pgSz w:w="11906" w:h="16838"/>
          <w:pgMar w:top="568" w:right="1418" w:bottom="1418" w:left="1418" w:header="624" w:footer="624" w:gutter="0"/>
          <w:pgNumType w:start="1"/>
          <w:cols w:space="720"/>
          <w:docGrid w:linePitch="360"/>
        </w:sectPr>
      </w:pPr>
      <w:bookmarkStart w:id="386" w:name="_Toc33417210"/>
    </w:p>
    <w:p w:rsidR="007D4A93" w:rsidRPr="00654E3B" w:rsidRDefault="00EF0BEB">
      <w:pPr>
        <w:pStyle w:val="Heading1"/>
        <w:rPr>
          <w:rFonts w:ascii="Times New Roman" w:hAnsi="Times New Roman" w:cs="Times New Roman"/>
        </w:rPr>
      </w:pPr>
      <w:bookmarkStart w:id="387" w:name="_Toc69810239"/>
      <w:r w:rsidRPr="00654E3B">
        <w:rPr>
          <w:rFonts w:ascii="Times New Roman" w:hAnsi="Times New Roman" w:cs="Times New Roman"/>
        </w:rPr>
        <w:lastRenderedPageBreak/>
        <w:t>PRILOG V. - MJERE NA OSNOVU KOJIH SU SE IZRADILI SC</w:t>
      </w:r>
      <w:r w:rsidR="00A10CCE" w:rsidRPr="00654E3B">
        <w:rPr>
          <w:rFonts w:ascii="Times New Roman" w:hAnsi="Times New Roman" w:cs="Times New Roman"/>
        </w:rPr>
        <w:t>E</w:t>
      </w:r>
      <w:r w:rsidRPr="00654E3B">
        <w:rPr>
          <w:rFonts w:ascii="Times New Roman" w:hAnsi="Times New Roman" w:cs="Times New Roman"/>
        </w:rPr>
        <w:t>NARIJI</w:t>
      </w:r>
      <w:bookmarkEnd w:id="386"/>
      <w:bookmarkEnd w:id="387"/>
    </w:p>
    <w:p w:rsidR="007D4A93" w:rsidRPr="00654E3B" w:rsidRDefault="007D4A93">
      <w:pPr>
        <w:rPr>
          <w:rFonts w:cs="Times New Roman"/>
        </w:rPr>
      </w:pPr>
    </w:p>
    <w:tbl>
      <w:tblPr>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2832"/>
        <w:gridCol w:w="9217"/>
      </w:tblGrid>
      <w:tr w:rsidR="007D4A93" w:rsidRPr="00654E3B" w:rsidTr="002D7110">
        <w:trPr>
          <w:trHeight w:val="340"/>
          <w:tblHeader/>
        </w:trPr>
        <w:tc>
          <w:tcPr>
            <w:tcW w:w="1129" w:type="dxa"/>
            <w:vAlign w:val="center"/>
          </w:tcPr>
          <w:p w:rsidR="007D4A93" w:rsidRPr="00654E3B" w:rsidRDefault="00EF0BEB">
            <w:pPr>
              <w:spacing w:line="240" w:lineRule="auto"/>
              <w:jc w:val="center"/>
              <w:rPr>
                <w:rFonts w:cs="Times New Roman"/>
                <w:b/>
                <w:sz w:val="20"/>
              </w:rPr>
            </w:pPr>
            <w:r w:rsidRPr="00654E3B">
              <w:rPr>
                <w:rFonts w:cs="Times New Roman"/>
                <w:b/>
                <w:sz w:val="20"/>
              </w:rPr>
              <w:t>OZNAKA</w:t>
            </w:r>
          </w:p>
        </w:tc>
        <w:tc>
          <w:tcPr>
            <w:tcW w:w="12049" w:type="dxa"/>
            <w:gridSpan w:val="2"/>
            <w:vAlign w:val="center"/>
          </w:tcPr>
          <w:p w:rsidR="007D4A93" w:rsidRPr="00654E3B" w:rsidRDefault="00EF0BEB">
            <w:pPr>
              <w:spacing w:line="240" w:lineRule="auto"/>
              <w:jc w:val="center"/>
              <w:rPr>
                <w:rFonts w:eastAsia="Times New Roman" w:cs="Times New Roman"/>
                <w:b/>
                <w:sz w:val="20"/>
                <w:lang w:eastAsia="hr-HR"/>
              </w:rPr>
            </w:pPr>
            <w:r w:rsidRPr="00654E3B">
              <w:rPr>
                <w:rFonts w:cs="Times New Roman"/>
                <w:b/>
                <w:sz w:val="20"/>
              </w:rPr>
              <w:t>NAZIV I OPIS MJERE</w:t>
            </w:r>
          </w:p>
        </w:tc>
      </w:tr>
      <w:tr w:rsidR="007D4A93" w:rsidRPr="00654E3B">
        <w:trPr>
          <w:trHeight w:val="340"/>
        </w:trPr>
        <w:tc>
          <w:tcPr>
            <w:tcW w:w="13178" w:type="dxa"/>
            <w:gridSpan w:val="3"/>
            <w:vAlign w:val="center"/>
          </w:tcPr>
          <w:p w:rsidR="007D4A93" w:rsidRPr="00654E3B" w:rsidRDefault="00EF0BEB">
            <w:pPr>
              <w:spacing w:line="240" w:lineRule="auto"/>
              <w:rPr>
                <w:rFonts w:eastAsia="Times New Roman" w:cs="Times New Roman"/>
                <w:b/>
                <w:sz w:val="20"/>
                <w:lang w:eastAsia="hr-HR"/>
              </w:rPr>
            </w:pPr>
            <w:r w:rsidRPr="00654E3B">
              <w:rPr>
                <w:rFonts w:eastAsia="Times New Roman" w:cs="Times New Roman"/>
                <w:b/>
                <w:sz w:val="20"/>
                <w:lang w:eastAsia="hr-HR"/>
              </w:rPr>
              <w:t>MEĐUSEKTORSKE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Povjerenstvo za međusektorsku koordinaciju za politiku i mjere za ublažavanje i prilagodbu klimatskim promjenama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Povjerenstvo, koje imenuje Vlada Republike Hrvatske, osnovano je 2014. godine i nadležno je za praćenje i ocjenu provedbe i planiranja politike i mjera za ublažavanje i prilagodbu klimatskim promjenama u Republici Hrvatskoj. U Povjerenstvo su imenovani dužnosnici nadležnih tijela državne uprave, ali se na sjednice, po potrebi, mogu pozivati </w:t>
            </w:r>
            <w:r w:rsidRPr="00654E3B">
              <w:rPr>
                <w:rFonts w:cs="Times New Roman"/>
                <w:sz w:val="20"/>
              </w:rPr>
              <w:t>i drugi predstavnici tijela javne vlasti, strukovnih organizacija i predstavnici trgovačkih društava u vlasništvu države.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MCC-2</w:t>
            </w:r>
          </w:p>
        </w:tc>
        <w:tc>
          <w:tcPr>
            <w:tcW w:w="2832" w:type="dxa"/>
            <w:vAlign w:val="center"/>
          </w:tcPr>
          <w:p w:rsidR="007D4A93" w:rsidRPr="00654E3B" w:rsidRDefault="00A273BE" w:rsidP="00A273BE">
            <w:pPr>
              <w:spacing w:line="240" w:lineRule="auto"/>
              <w:jc w:val="left"/>
              <w:rPr>
                <w:rFonts w:eastAsia="Times New Roman" w:cs="Times New Roman"/>
                <w:sz w:val="20"/>
                <w:lang w:eastAsia="hr-HR"/>
              </w:rPr>
            </w:pPr>
            <w:r w:rsidRPr="00654E3B">
              <w:rPr>
                <w:rFonts w:cs="Times New Roman"/>
                <w:sz w:val="20"/>
              </w:rPr>
              <w:t>Jačanje</w:t>
            </w:r>
            <w:r w:rsidR="00EF0BEB" w:rsidRPr="00654E3B">
              <w:rPr>
                <w:rFonts w:cs="Times New Roman"/>
                <w:sz w:val="20"/>
              </w:rPr>
              <w:t xml:space="preserve"> regionalnih energetskih i klimatskih agencija </w:t>
            </w:r>
          </w:p>
        </w:tc>
        <w:tc>
          <w:tcPr>
            <w:tcW w:w="9217" w:type="dxa"/>
            <w:vAlign w:val="center"/>
          </w:tcPr>
          <w:p w:rsidR="007D4A93" w:rsidRPr="00654E3B" w:rsidRDefault="00EF0BEB" w:rsidP="00A273BE">
            <w:pPr>
              <w:spacing w:line="240" w:lineRule="auto"/>
              <w:rPr>
                <w:rFonts w:eastAsia="Times New Roman" w:cs="Times New Roman"/>
                <w:sz w:val="20"/>
                <w:lang w:eastAsia="hr-HR"/>
              </w:rPr>
            </w:pPr>
            <w:r w:rsidRPr="00654E3B">
              <w:rPr>
                <w:rFonts w:eastAsia="Times New Roman" w:cs="Times New Roman"/>
                <w:sz w:val="20"/>
                <w:lang w:eastAsia="hr-HR"/>
              </w:rPr>
              <w:t>Regionalne energetske agencije trenutno ne djeluju na području čitave Republike Hrvatske</w:t>
            </w:r>
            <w:r w:rsidR="00A273BE" w:rsidRPr="00654E3B">
              <w:rPr>
                <w:rFonts w:eastAsia="Times New Roman" w:cs="Times New Roman"/>
                <w:sz w:val="20"/>
                <w:lang w:eastAsia="hr-HR"/>
              </w:rPr>
              <w:t>.</w:t>
            </w:r>
            <w:r w:rsidRPr="00654E3B">
              <w:rPr>
                <w:rFonts w:eastAsia="Times New Roman" w:cs="Times New Roman"/>
                <w:sz w:val="20"/>
                <w:lang w:eastAsia="hr-HR"/>
              </w:rPr>
              <w:t xml:space="preserve"> Cilj ove mjere je </w:t>
            </w:r>
            <w:r w:rsidR="00A273BE" w:rsidRPr="00654E3B">
              <w:rPr>
                <w:rFonts w:eastAsia="Times New Roman" w:cs="Times New Roman"/>
                <w:sz w:val="20"/>
                <w:lang w:eastAsia="hr-HR"/>
              </w:rPr>
              <w:t xml:space="preserve">jačanje </w:t>
            </w:r>
            <w:r w:rsidRPr="00654E3B">
              <w:rPr>
                <w:rFonts w:eastAsia="Times New Roman" w:cs="Times New Roman"/>
                <w:sz w:val="20"/>
                <w:lang w:eastAsia="hr-HR"/>
              </w:rPr>
              <w:t xml:space="preserve"> regionalnih energetskih </w:t>
            </w:r>
            <w:r w:rsidR="00A273BE" w:rsidRPr="00654E3B">
              <w:rPr>
                <w:rFonts w:eastAsia="Times New Roman" w:cs="Times New Roman"/>
                <w:sz w:val="20"/>
                <w:lang w:eastAsia="hr-HR"/>
              </w:rPr>
              <w:t>agencija, preoblikovanje postojećih energetskih agencija u energetske i klimatske agencije te proširenje njihova područja.</w:t>
            </w:r>
            <w:r w:rsidRPr="00654E3B">
              <w:rPr>
                <w:rFonts w:eastAsia="Times New Roman" w:cs="Times New Roman"/>
                <w:sz w:val="20"/>
                <w:lang w:eastAsia="hr-HR"/>
              </w:rPr>
              <w:t xml:space="preserve"> </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Promicanje korištenja inovativnih informacijskih i komunikacijskih tehnologija (ICT) radi smanjenja emisija stakleničkih plinova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Inovativne informacijske i komunikacijske tehnologije imaju sve važniju ulogu u smanjenju emisija stakleničkih plinova i povećanju energetske učinkovitosti. Intenziviranjem njihovog korištenja u javnoj upravi, uslugama i proizvodnim procesima povećat će se produktivnost i učinkovitost rada te istovremeno smanjiti potrošnja energije i posljedične emisije stakleničkih plinova. Očekuje se kako će mjera povećati korištenje inovativnih ICT i praćenje stvarnih ušteda energije te smanjenja emisija stakleničkih plinova.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Europski sustav trgovanja emisijskim jedinicama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Kroz ravnomjernu raspodjelu emisijskih jedinica obveze za smanjenjem podijeljene su sudionicima sustava iz svih država članica s ciljem doprinosa smanjenju emisija na razini EU za najmanje 43</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do 2030. godine u odnosu na razinu iz 2005. godine.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Porez na emisiju CO</w:t>
            </w:r>
            <w:r w:rsidRPr="00654E3B">
              <w:rPr>
                <w:rFonts w:cs="Times New Roman"/>
                <w:sz w:val="20"/>
                <w:vertAlign w:val="subscript"/>
              </w:rPr>
              <w:t>2</w:t>
            </w:r>
            <w:r w:rsidRPr="00654E3B">
              <w:rPr>
                <w:rFonts w:cs="Times New Roman"/>
                <w:sz w:val="20"/>
              </w:rPr>
              <w:t xml:space="preserve"> za stacionarne izvore koji nisu u EU ETS-u</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Uredba o jediničnim naknadama, korektivnim koeficijentima i pobližim kriterijima i mjerilima za utvrđivanje naknade na emisiju u okoliš ugljikovog dioksida (</w:t>
            </w:r>
            <w:r w:rsidR="001C0429" w:rsidRPr="00654E3B">
              <w:rPr>
                <w:rFonts w:cs="Times New Roman"/>
                <w:sz w:val="20"/>
              </w:rPr>
              <w:t>Narodne novine</w:t>
            </w:r>
            <w:r w:rsidRPr="00654E3B">
              <w:rPr>
                <w:rFonts w:cs="Times New Roman"/>
                <w:sz w:val="20"/>
              </w:rPr>
              <w:t xml:space="preserve">, br. </w:t>
            </w:r>
            <w:r w:rsidRPr="00654E3B">
              <w:rPr>
                <w:rFonts w:eastAsia="Times New Roman" w:cs="Times New Roman"/>
                <w:sz w:val="20"/>
                <w:lang w:eastAsia="hr-HR"/>
              </w:rPr>
              <w:t>73/2007, 48/2009 i 2/2018) propisuje obvezu plaćanja naknade na emisiju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za sve stacionarne izvore koji emitiraju više od 450 tona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godišnje. Obveznicima plaćanja naknada koji ulažu u energetsku učinkovitost, OIE i druge mjere za smanjenje emisije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i ostalih emisija stakleničkih plinova naplaćuje se niža naknada. Fond za zaštitu okoliša i energetsku učinkovitost ovlašten je za obračun i naplatu troškova. Od 2013. nadalje, obveza plaćanja naknade na emisiju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odnosi se samo na izvore koji nisu obuhvaćeni ETS-om.</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Sporazum gradonačelnika za klimu i energiju u Republici Hrvatskoj</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Potpisnici Sporazuma podržavaju zajedničku viziju za 2050. godinu: ubrzavanje dekarbonizacije njihovih teritorija, osnaživanje kapaciteta za prilagodbu na neizbježan utjecaj klimatskih promjena te omogućavanje </w:t>
            </w:r>
            <w:r w:rsidRPr="00654E3B">
              <w:rPr>
                <w:rFonts w:eastAsia="Times New Roman" w:cs="Times New Roman"/>
                <w:sz w:val="20"/>
                <w:lang w:eastAsia="hr-HR"/>
              </w:rPr>
              <w:lastRenderedPageBreak/>
              <w:t>građanima pristup sigurnoj, održivoj i povoljnoj energiji. Sporazumom je obuhvaćeno 82 gradova i općina, odnosno preko 2 milijuna stanovnika u Republici Hrvatskoj.</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MCC-7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Povelja o suradnji u cilju dekarbonizacije zgrada do 2050.</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Povelja o suradnji u cilju dekarbonizacije zgrada do 2050., koju je pokrenulo </w:t>
            </w:r>
            <w:r w:rsidR="00315AC1" w:rsidRPr="00654E3B">
              <w:rPr>
                <w:rFonts w:eastAsia="Times New Roman" w:cs="Times New Roman"/>
                <w:sz w:val="20"/>
                <w:lang w:eastAsia="hr-HR"/>
              </w:rPr>
              <w:t>m</w:t>
            </w:r>
            <w:r w:rsidRPr="00654E3B">
              <w:rPr>
                <w:rFonts w:eastAsia="Times New Roman" w:cs="Times New Roman"/>
                <w:sz w:val="20"/>
                <w:lang w:eastAsia="hr-HR"/>
              </w:rPr>
              <w:t xml:space="preserve">inistarstvo </w:t>
            </w:r>
            <w:r w:rsidR="000C668F" w:rsidRPr="00654E3B">
              <w:rPr>
                <w:rFonts w:eastAsia="Times New Roman" w:cs="Times New Roman"/>
                <w:sz w:val="20"/>
                <w:lang w:eastAsia="hr-HR"/>
              </w:rPr>
              <w:t xml:space="preserve"> </w:t>
            </w:r>
            <w:r w:rsidR="00315AC1" w:rsidRPr="00654E3B">
              <w:rPr>
                <w:rFonts w:eastAsia="Times New Roman" w:cs="Times New Roman"/>
                <w:sz w:val="20"/>
                <w:lang w:eastAsia="hr-HR"/>
              </w:rPr>
              <w:t>nadležno za poslove graditeljstva</w:t>
            </w:r>
            <w:r w:rsidRPr="00654E3B">
              <w:rPr>
                <w:rFonts w:eastAsia="Times New Roman" w:cs="Times New Roman"/>
                <w:sz w:val="20"/>
                <w:lang w:eastAsia="hr-HR"/>
              </w:rPr>
              <w:t xml:space="preserve">, a kojom se podržava EU viziju dekarbonizacije zgrada do 2050. godine – Povelja je pokrenuta zbog bolje međuresorne komunikacije i suradnje između tijela državne uprave i realnog sektora. Cilj je putem radionica i otvorenog dijaloga partnera stvoriti široku mrežu povezanih stručnjaka koji su spremni na zajednički dijalog i doprinos dekarbonizaciji fonda zgrada do 2050. godine. Otvoreni  dijalozi partnera okupljaju predstavnike državne </w:t>
            </w:r>
            <w:r w:rsidR="00E0306C" w:rsidRPr="00654E3B">
              <w:rPr>
                <w:rFonts w:eastAsia="Times New Roman" w:cs="Times New Roman"/>
                <w:sz w:val="20"/>
                <w:lang w:eastAsia="hr-HR"/>
              </w:rPr>
              <w:t>uprave i jedinice</w:t>
            </w:r>
            <w:r w:rsidRPr="00654E3B">
              <w:rPr>
                <w:rFonts w:eastAsia="Times New Roman" w:cs="Times New Roman"/>
                <w:sz w:val="20"/>
                <w:lang w:eastAsia="hr-HR"/>
              </w:rPr>
              <w:t xml:space="preserve"> lokalne </w:t>
            </w:r>
            <w:r w:rsidR="00E0306C" w:rsidRPr="00654E3B">
              <w:rPr>
                <w:rFonts w:eastAsia="Times New Roman" w:cs="Times New Roman"/>
                <w:sz w:val="20"/>
                <w:lang w:eastAsia="hr-HR"/>
              </w:rPr>
              <w:t>samo</w:t>
            </w:r>
            <w:r w:rsidRPr="00654E3B">
              <w:rPr>
                <w:rFonts w:eastAsia="Times New Roman" w:cs="Times New Roman"/>
                <w:sz w:val="20"/>
                <w:lang w:eastAsia="hr-HR"/>
              </w:rPr>
              <w:t>uprave, akademske zajednice i stručne javnosti, građevinskog i energetskog sektora te pratećih industrija na tematskim radionicama koje organizira Ministarstv</w:t>
            </w:r>
            <w:r w:rsidR="00315AC1" w:rsidRPr="00654E3B">
              <w:rPr>
                <w:rFonts w:eastAsia="Times New Roman" w:cs="Times New Roman"/>
                <w:sz w:val="20"/>
                <w:lang w:eastAsia="hr-HR"/>
              </w:rPr>
              <w:t>o</w:t>
            </w:r>
            <w:r w:rsidRPr="00654E3B">
              <w:rPr>
                <w:rFonts w:eastAsia="Times New Roman" w:cs="Times New Roman"/>
                <w:sz w:val="20"/>
                <w:lang w:eastAsia="hr-HR"/>
              </w:rPr>
              <w:t xml:space="preserve"> </w:t>
            </w:r>
            <w:r w:rsidR="00315AC1" w:rsidRPr="00654E3B">
              <w:rPr>
                <w:rFonts w:eastAsia="Times New Roman" w:cs="Times New Roman"/>
                <w:sz w:val="20"/>
                <w:lang w:eastAsia="hr-HR"/>
              </w:rPr>
              <w:t>nadležno za poslove graditeljstva</w:t>
            </w:r>
            <w:r w:rsidRPr="00654E3B">
              <w:rPr>
                <w:rFonts w:eastAsia="Times New Roman" w:cs="Times New Roman"/>
                <w:sz w:val="20"/>
                <w:lang w:eastAsia="hr-HR"/>
              </w:rPr>
              <w:t>. Sadržaj povelje odnosi se na postizanje energetskih i klimatskih ciljeva na nacionalnoj i EU razini kroz dekarbonizaciju fonda zgrada, obnovom zgrada i građenjem zgrada gotovo nulte energije, svjesni važnosti dodatnog smanjenja emisija stakleničkih plinova, povećanja udjela obnovljivih izvora energije, poboljšanja energetske sigurnosti, te uvođenja inovacija i pametnih tehnologija koje omogućuju zgradama da potpomognu sveukupnu dekarbonizaciju gospodarstva, Potpisivanjem povelje potiče se kontinuirana suradnja na izradi</w:t>
            </w:r>
            <w:r w:rsidR="00315AC1" w:rsidRPr="00654E3B">
              <w:rPr>
                <w:rFonts w:eastAsia="Times New Roman" w:cs="Times New Roman"/>
                <w:sz w:val="20"/>
                <w:lang w:eastAsia="hr-HR"/>
              </w:rPr>
              <w:t>, provedbi i reviziji</w:t>
            </w:r>
            <w:r w:rsidRPr="00654E3B">
              <w:rPr>
                <w:rFonts w:eastAsia="Times New Roman" w:cs="Times New Roman"/>
                <w:sz w:val="20"/>
                <w:lang w:eastAsia="hr-HR"/>
              </w:rPr>
              <w:t xml:space="preserve"> Dugoročne strategije obnove nacionalnog fonda zgrada i prelazak na standard gradnje zgrada gotovo nulte energije (nZEB). Potpisnici Povelje pružaju potporu te promiču dekarbonizaciju zgrada u svojim daljnjim aktivnostima, gdje god je to moguće.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MCC-8</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platforme za prikupljanje, uporabu i skladištenje CO</w:t>
            </w:r>
            <w:r w:rsidRPr="00654E3B">
              <w:rPr>
                <w:rFonts w:cs="Times New Roman"/>
                <w:sz w:val="20"/>
                <w:vertAlign w:val="subscript"/>
              </w:rPr>
              <w:t>2</w:t>
            </w:r>
            <w:r w:rsidRPr="00654E3B">
              <w:rPr>
                <w:rFonts w:cs="Times New Roman"/>
                <w:sz w:val="20"/>
              </w:rPr>
              <w:t xml:space="preserve">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Tehnologija sakupljanja i pohrane ugljika za velike izvore emisije još nije komercijalno dostupna. Prema Direktivi 2009/31/EC o geološkoj pohrani ugljikovog dioksida, odnosno članku 36. Direktive 2010/75/EU o industrijskim emisijama, za elektrane kapaciteta većih od 300 MW koje su dobile građevinsku dozvolu nakon stupanja na snagu Direktive 2009/31/EK o geološkoj pohrani ugljikovog dioksida, potrebno je ocijeniti jesu li zadovoljeni sljedeći uvjeti: a) dostupnost prikladne lokacije za pohranu, b) tehnička i ekonomska izvedivost transportnih postrojenja i c) tehnička i ekonomska izvedivost nadogradnje postrojenja za izdvajanje i sakupljanje CO</w:t>
            </w:r>
            <w:r w:rsidRPr="00654E3B">
              <w:rPr>
                <w:rFonts w:eastAsia="Times New Roman" w:cs="Times New Roman"/>
                <w:sz w:val="20"/>
                <w:vertAlign w:val="subscript"/>
                <w:lang w:eastAsia="hr-HR"/>
              </w:rPr>
              <w:t>2</w:t>
            </w:r>
            <w:r w:rsidRPr="00654E3B">
              <w:rPr>
                <w:rFonts w:eastAsia="Times New Roman" w:cs="Times New Roman"/>
                <w:sz w:val="20"/>
                <w:lang w:eastAsia="hr-HR"/>
              </w:rPr>
              <w:t>. Ako su ovi uvjeti zadovoljeni, nadležno tijelo mora osigurati na mjestu postrojenja odgovarajući prostor za opremu za hvatanje i komprimiranje izvučenog CO</w:t>
            </w:r>
            <w:r w:rsidRPr="00654E3B">
              <w:rPr>
                <w:rFonts w:eastAsia="Times New Roman" w:cs="Times New Roman"/>
                <w:sz w:val="20"/>
                <w:vertAlign w:val="subscript"/>
                <w:lang w:eastAsia="hr-HR"/>
              </w:rPr>
              <w:t>2</w:t>
            </w:r>
            <w:r w:rsidRPr="00654E3B">
              <w:rPr>
                <w:rFonts w:eastAsia="Times New Roman" w:cs="Times New Roman"/>
                <w:sz w:val="20"/>
                <w:lang w:eastAsia="hr-HR"/>
              </w:rPr>
              <w:t>. Zakonodavno je to obuhvaćeno Zakonom o istraživanju i eksploataciji ugljikovodika (</w:t>
            </w:r>
            <w:r w:rsidR="001C0429" w:rsidRPr="00654E3B">
              <w:rPr>
                <w:rFonts w:eastAsia="Times New Roman" w:cs="Times New Roman"/>
                <w:sz w:val="20"/>
                <w:lang w:eastAsia="hr-HR"/>
              </w:rPr>
              <w:t>Narodne novine</w:t>
            </w:r>
            <w:r w:rsidRPr="00654E3B">
              <w:rPr>
                <w:rFonts w:eastAsia="Times New Roman" w:cs="Times New Roman"/>
                <w:sz w:val="20"/>
                <w:lang w:eastAsia="hr-HR"/>
              </w:rPr>
              <w:t>, br.  52/2018 i 52/2019) koji omogućuje skladištenje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na prostoru Republike Hrvatske. Ova metoda se treba još dodatno razviti te se trebaju razmotriti potencijali i mogućnosti za ovu tehnologiju na razini države. U skladu s navedenim planira se izrada studije procjene skladišnih kapaciteta, ali i izrada Nacionalne studije izvodljivosti s akcijskim planom za pripremne aktivnosti za CCS projekte. Ova će studija obuhvatiti faze hvatanja na izvorima emisija, transport, utiskivanje i skladištenje CO</w:t>
            </w:r>
            <w:r w:rsidRPr="00654E3B">
              <w:rPr>
                <w:rFonts w:eastAsia="Times New Roman" w:cs="Times New Roman"/>
                <w:sz w:val="20"/>
                <w:vertAlign w:val="subscript"/>
                <w:lang w:eastAsia="hr-HR"/>
              </w:rPr>
              <w:t>2</w:t>
            </w:r>
            <w:r w:rsidRPr="00654E3B">
              <w:rPr>
                <w:rFonts w:eastAsia="Times New Roman" w:cs="Times New Roman"/>
                <w:sz w:val="20"/>
                <w:lang w:eastAsia="hr-HR"/>
              </w:rPr>
              <w:t>, te povezanost sustava transporta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sa drugim EU zemljama. Aktivnosti obuhvaćaju:</w:t>
            </w:r>
          </w:p>
          <w:p w:rsidR="007D4A93" w:rsidRPr="00654E3B" w:rsidRDefault="00EF0BEB" w:rsidP="000C6795">
            <w:pPr>
              <w:numPr>
                <w:ilvl w:val="0"/>
                <w:numId w:val="42"/>
              </w:numPr>
              <w:spacing w:line="240" w:lineRule="auto"/>
              <w:ind w:left="714" w:hanging="357"/>
              <w:rPr>
                <w:rFonts w:eastAsia="Times New Roman" w:cs="Times New Roman"/>
                <w:sz w:val="20"/>
                <w:lang w:eastAsia="hr-HR"/>
              </w:rPr>
            </w:pPr>
            <w:r w:rsidRPr="00654E3B">
              <w:rPr>
                <w:rFonts w:eastAsia="Times New Roman" w:cs="Times New Roman"/>
                <w:sz w:val="20"/>
                <w:lang w:eastAsia="hr-HR"/>
              </w:rPr>
              <w:t>provedbu istraživanja potencijala za geološko skladištenje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u Republici Hrvatskoj,</w:t>
            </w:r>
          </w:p>
          <w:p w:rsidR="007D4A93" w:rsidRPr="00654E3B" w:rsidRDefault="00EF0BEB" w:rsidP="000C6795">
            <w:pPr>
              <w:numPr>
                <w:ilvl w:val="0"/>
                <w:numId w:val="42"/>
              </w:numPr>
              <w:spacing w:line="240" w:lineRule="auto"/>
              <w:ind w:left="714" w:hanging="357"/>
              <w:rPr>
                <w:rFonts w:eastAsia="Times New Roman" w:cs="Times New Roman"/>
                <w:sz w:val="20"/>
                <w:lang w:eastAsia="hr-HR"/>
              </w:rPr>
            </w:pPr>
            <w:r w:rsidRPr="00654E3B">
              <w:rPr>
                <w:rFonts w:eastAsia="Times New Roman" w:cs="Times New Roman"/>
                <w:sz w:val="20"/>
                <w:lang w:eastAsia="hr-HR"/>
              </w:rPr>
              <w:t>izradu/dopune studije procjene skladišnih kapaciteta koji su dostupni na području Republike Hrvatske,</w:t>
            </w:r>
          </w:p>
          <w:p w:rsidR="007D4A93" w:rsidRPr="00654E3B" w:rsidRDefault="00EF0BEB" w:rsidP="000C6795">
            <w:pPr>
              <w:numPr>
                <w:ilvl w:val="0"/>
                <w:numId w:val="42"/>
              </w:numPr>
              <w:spacing w:line="240" w:lineRule="auto"/>
              <w:ind w:left="714" w:hanging="357"/>
              <w:rPr>
                <w:rFonts w:eastAsia="Times New Roman" w:cs="Times New Roman"/>
                <w:sz w:val="20"/>
                <w:lang w:eastAsia="hr-HR"/>
              </w:rPr>
            </w:pPr>
            <w:r w:rsidRPr="00654E3B">
              <w:rPr>
                <w:rFonts w:eastAsia="Times New Roman" w:cs="Times New Roman"/>
                <w:sz w:val="20"/>
                <w:lang w:eastAsia="hr-HR"/>
              </w:rPr>
              <w:lastRenderedPageBreak/>
              <w:t>provedbu projekata geološkog skladištenja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u Republici Hrvatskoj u skladu sa izraženim potencijalima.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MCC-9</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Unaprjeđenje održivosti urbanih sredina</w:t>
            </w:r>
          </w:p>
        </w:tc>
        <w:tc>
          <w:tcPr>
            <w:tcW w:w="9217" w:type="dxa"/>
            <w:vAlign w:val="center"/>
          </w:tcPr>
          <w:p w:rsidR="007D4A93" w:rsidRPr="00654E3B" w:rsidRDefault="00ED091A">
            <w:pPr>
              <w:spacing w:line="240" w:lineRule="auto"/>
              <w:rPr>
                <w:rFonts w:eastAsia="Times New Roman" w:cs="Times New Roman"/>
                <w:sz w:val="20"/>
                <w:lang w:eastAsia="hr-HR"/>
              </w:rPr>
            </w:pPr>
            <w:r w:rsidRPr="00654E3B">
              <w:rPr>
                <w:rFonts w:eastAsia="Times New Roman" w:cs="Times New Roman"/>
                <w:sz w:val="20"/>
                <w:lang w:eastAsia="hr-HR"/>
              </w:rPr>
              <w:t>U</w:t>
            </w:r>
            <w:r w:rsidR="00726324" w:rsidRPr="00654E3B">
              <w:rPr>
                <w:rFonts w:eastAsia="Times New Roman" w:cs="Times New Roman"/>
                <w:sz w:val="20"/>
                <w:lang w:eastAsia="hr-HR"/>
              </w:rPr>
              <w:t xml:space="preserve"> procesu </w:t>
            </w:r>
            <w:r w:rsidRPr="00654E3B">
              <w:rPr>
                <w:rFonts w:eastAsia="Times New Roman" w:cs="Times New Roman"/>
                <w:sz w:val="20"/>
                <w:lang w:eastAsia="hr-HR"/>
              </w:rPr>
              <w:t xml:space="preserve">je </w:t>
            </w:r>
            <w:r w:rsidR="00726324" w:rsidRPr="00654E3B">
              <w:rPr>
                <w:rFonts w:eastAsia="Times New Roman" w:cs="Times New Roman"/>
                <w:sz w:val="20"/>
                <w:lang w:eastAsia="hr-HR"/>
              </w:rPr>
              <w:t>izrad</w:t>
            </w:r>
            <w:r w:rsidRPr="00654E3B">
              <w:rPr>
                <w:rFonts w:eastAsia="Times New Roman" w:cs="Times New Roman"/>
                <w:sz w:val="20"/>
                <w:lang w:eastAsia="hr-HR"/>
              </w:rPr>
              <w:t>a</w:t>
            </w:r>
            <w:r w:rsidR="00726324" w:rsidRPr="00654E3B">
              <w:rPr>
                <w:rFonts w:eastAsia="Times New Roman" w:cs="Times New Roman"/>
                <w:sz w:val="20"/>
                <w:lang w:eastAsia="hr-HR"/>
              </w:rPr>
              <w:t xml:space="preserve"> novih nacionalnih Programa razvoja zelene infrastrukture u urbanim područjima i Programa razvoja kružnog gospodarenja prostorom i zgradama, kojima se postižu ekološke, gospodarske i društvene koristi održivog razvoja. Programom razvoja zelene infrastrukture u urbanim područjima razrađuju se ciljevi i mjere za razvoj zelene infrastrukture kojima se između ostaloga utječe na povećanje energetske učinkovitosti zgrada i </w:t>
            </w:r>
            <w:r w:rsidR="00252917" w:rsidRPr="00654E3B">
              <w:rPr>
                <w:rFonts w:eastAsia="Times New Roman" w:cs="Times New Roman"/>
                <w:sz w:val="20"/>
                <w:lang w:eastAsia="hr-HR"/>
              </w:rPr>
              <w:t>građevinskih</w:t>
            </w:r>
            <w:r w:rsidR="00726324" w:rsidRPr="00654E3B">
              <w:rPr>
                <w:rFonts w:eastAsia="Times New Roman" w:cs="Times New Roman"/>
                <w:sz w:val="20"/>
                <w:lang w:eastAsia="hr-HR"/>
              </w:rPr>
              <w:t xml:space="preserve"> područja, razvoj zelene infrastrukture u zgradarstvu, urbanu preobrazbu i urbanu sanaciju te smanjenje temperature u područjima toplinskih otoka u urbanim područjima. Programom razvoja kružnog gospodarenja prostorom zgradama </w:t>
            </w:r>
            <w:r w:rsidR="00252917" w:rsidRPr="00654E3B">
              <w:rPr>
                <w:rFonts w:eastAsia="Times New Roman" w:cs="Times New Roman"/>
                <w:sz w:val="20"/>
                <w:lang w:eastAsia="hr-HR"/>
              </w:rPr>
              <w:t>razrađuju</w:t>
            </w:r>
            <w:r w:rsidR="00726324" w:rsidRPr="00654E3B">
              <w:rPr>
                <w:rFonts w:eastAsia="Times New Roman" w:cs="Times New Roman"/>
                <w:sz w:val="20"/>
                <w:lang w:eastAsia="hr-HR"/>
              </w:rPr>
              <w:t xml:space="preserve"> se ciljevi </w:t>
            </w:r>
            <w:r w:rsidR="00252917" w:rsidRPr="00654E3B">
              <w:rPr>
                <w:rFonts w:eastAsia="Times New Roman" w:cs="Times New Roman"/>
                <w:sz w:val="20"/>
                <w:lang w:eastAsia="hr-HR"/>
              </w:rPr>
              <w:t>i</w:t>
            </w:r>
            <w:r w:rsidR="00726324" w:rsidRPr="00654E3B">
              <w:rPr>
                <w:rFonts w:eastAsia="Times New Roman" w:cs="Times New Roman"/>
                <w:sz w:val="20"/>
                <w:lang w:eastAsia="hr-HR"/>
              </w:rPr>
              <w:t xml:space="preserve"> mjere za kružno gospodarenje prostorom i zgradama kojima se izme</w:t>
            </w:r>
            <w:r w:rsidR="00252917" w:rsidRPr="00654E3B">
              <w:rPr>
                <w:rFonts w:eastAsia="Times New Roman" w:cs="Times New Roman"/>
                <w:sz w:val="20"/>
                <w:lang w:eastAsia="hr-HR"/>
              </w:rPr>
              <w:t>đ</w:t>
            </w:r>
            <w:r w:rsidR="00726324" w:rsidRPr="00654E3B">
              <w:rPr>
                <w:rFonts w:eastAsia="Times New Roman" w:cs="Times New Roman"/>
                <w:sz w:val="20"/>
                <w:lang w:eastAsia="hr-HR"/>
              </w:rPr>
              <w:t xml:space="preserve">u ostaloga potiču mjere kružnosti kod planiranja novih zgrada, ponovno korištenje napuštenih i/ili zapuštenih i produljenje trajnosti postojećih prostora i zgrada, smanjenje količine građevinskog otpada te povećanje energetske učinkovitosti zgrada. Cilj ove mjere je potaknuti gradove i općine da projekte revitalizacije i razvoja novih urbanih sredina temelje na principima održivosti. Prvi korak u tome je izrada razvojnih planova urbanih sredina, u kojima će se na temelju ocjene pokazatelja održivosti, definirati razvojni projekti kojima će se navedeni pokazatelji unaprijediti. Mjera će omogućiti unapređenje održivog razvoja direktnijim povezivanjem strateških i prostorno-planskih dokumenata i uvođenjem mjerenja uspješnosti planiranih te provedenih projekata. </w:t>
            </w:r>
          </w:p>
          <w:p w:rsidR="00726324" w:rsidRPr="00654E3B" w:rsidRDefault="00726324">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MS-9</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MCC-10</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Programa za izračun i smanjenje ugljikova otiska poslovnih subjekata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okviru mjere provest će se sljedeće aktivnosti: </w:t>
            </w:r>
          </w:p>
          <w:p w:rsidR="007D4A93" w:rsidRPr="00654E3B" w:rsidRDefault="00EF0BEB" w:rsidP="000C6795">
            <w:pPr>
              <w:numPr>
                <w:ilvl w:val="0"/>
                <w:numId w:val="41"/>
              </w:numPr>
              <w:spacing w:line="240" w:lineRule="auto"/>
              <w:rPr>
                <w:rFonts w:eastAsia="Times New Roman" w:cs="Times New Roman"/>
                <w:sz w:val="20"/>
                <w:lang w:eastAsia="hr-HR"/>
              </w:rPr>
            </w:pPr>
            <w:r w:rsidRPr="00654E3B">
              <w:rPr>
                <w:rFonts w:eastAsia="Times New Roman" w:cs="Times New Roman"/>
                <w:sz w:val="20"/>
                <w:lang w:eastAsia="hr-HR"/>
              </w:rPr>
              <w:t>unaprjeđenje nacionalnog modela za izračun ugljikova otiska poslovnih subjekata s integriranom bazom nacionalnih faktora emisije stakleničkih plinova,</w:t>
            </w:r>
          </w:p>
          <w:p w:rsidR="007D4A93" w:rsidRPr="00654E3B" w:rsidRDefault="00EF0BEB" w:rsidP="000C6795">
            <w:pPr>
              <w:numPr>
                <w:ilvl w:val="0"/>
                <w:numId w:val="41"/>
              </w:numPr>
              <w:spacing w:line="240" w:lineRule="auto"/>
              <w:rPr>
                <w:rFonts w:eastAsia="Times New Roman" w:cs="Times New Roman"/>
                <w:sz w:val="20"/>
                <w:lang w:eastAsia="hr-HR"/>
              </w:rPr>
            </w:pPr>
            <w:r w:rsidRPr="00654E3B">
              <w:rPr>
                <w:rFonts w:eastAsia="Times New Roman" w:cs="Times New Roman"/>
                <w:sz w:val="20"/>
                <w:lang w:eastAsia="hr-HR"/>
              </w:rPr>
              <w:t>uspostava i provedba dobrovoljnog programa za izračun i smanjenje ugljikova otiska poslovnih subjekata od 2021. godine,</w:t>
            </w:r>
          </w:p>
          <w:p w:rsidR="007D4A93" w:rsidRPr="00654E3B" w:rsidRDefault="00EF0BEB" w:rsidP="000C6795">
            <w:pPr>
              <w:numPr>
                <w:ilvl w:val="0"/>
                <w:numId w:val="41"/>
              </w:numPr>
              <w:spacing w:line="240" w:lineRule="auto"/>
              <w:rPr>
                <w:rFonts w:eastAsia="Times New Roman" w:cs="Times New Roman"/>
                <w:sz w:val="20"/>
                <w:lang w:eastAsia="hr-HR"/>
              </w:rPr>
            </w:pPr>
            <w:r w:rsidRPr="00654E3B">
              <w:rPr>
                <w:rFonts w:eastAsia="Times New Roman" w:cs="Times New Roman"/>
                <w:sz w:val="20"/>
                <w:lang w:eastAsia="hr-HR"/>
              </w:rPr>
              <w:t>praćenje i analiza postignutog smanjenja ugljikova otiska poslovnih subjekata, razmotrit će se donošenje podzakonskog akta koji će uspostaviti obvezu izračuna ugljikova otiska i izradu akcijskog plana za smanjenje ugljikova otiska poslovnih subjekata.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platforme za kružno gospodarstvo</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Potrebno je razraditi sustavni pristup u svim vrijednosnim lancima koje se odnose na hrvatsko gospodarstvo, a odnose se na mjere navedene u Akcijskom planu za kružno gospodarstvo na čijem temelju EK integrira načela kružnog gospodarstva u proizvodnji i potrošnji plastike, gospodarenje vodama, prehrambene sustave i gospodarenje posebnim tokovima otpada. Potrebno je osnovati međusektorsku tematsku radnu skupinu koja će odrediti dionike kružnog gospodarstva (fokus na industriju i dobavljače sirovina, energenata i ambalaže) i prema njima napraviti nacionalni akcijski plan za tranziciju na kružno gospodarstvo kroz prilagodbu zakonodavnog </w:t>
            </w:r>
            <w:r w:rsidRPr="00654E3B">
              <w:rPr>
                <w:rFonts w:eastAsia="Times New Roman" w:cs="Times New Roman"/>
                <w:sz w:val="20"/>
                <w:lang w:eastAsia="hr-HR"/>
              </w:rPr>
              <w:lastRenderedPageBreak/>
              <w:t xml:space="preserve">okvira. Uključivanje predstavnika Republike Hrvatske u Platformu dionika za Europsko kružno gospodarstvo omogućuje izravan pristup inovacijama i najboljim praksama kao i suradnju u istima. </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MCC-12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platforme za biogospodarstvo</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kontekstu razvoja biogospodarstva nužno je povezati tri ključna aspekta: razvoj novih tehnologija i procesa; razvoj tržišta i konkurentnost sektora temeljenih na načelima kružnog gospodarstva te političku volju za suradnju politike i dionika. Time se treba osigurati transformacija postojećih „tradicionalnih“ dionika biogospodarstva (poljoprivrednika, OPG-a, prehrambeno-prerađivačke, šumarske, drvno-prerađivačke, farmaceutske, kemijske industrije…) u nove, moderne dionike niskougljičnog gospodarstva i održivog razvoja uz podržavanje pozitivnog utjecaja na ekosustave, klimu i ciklus kruženja ugljika. Za prelazak na biogospodarstvo neophodna je dubinska analiza dionika (sektora), te da njihova gospodarska aktivnost doprinosi postizanju ciljeva razvoja temeljenog na niskim razinama emisija ugljikovog dioksida i ostalih stakleničkih plinova. Usporedno je potrebna prilagodba uključenih gospodarskih subjekta za korištenje sredstava iz najavljenih EU fondova namijenjenih tranziciji na biogospodarstvo. </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Uspostava platforme za tehnologiju vodika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Očekuje se kako će uloga vodika u energetskim i prometnim sustavima budućnosti biti značajnija, tim više što će ciljevi u pogledu smanjenja emisija stakleničkih plinova biti ambiciozniji. Zato je potrebno pravovremeno identificirati prilike povezane s korištenjem vodika, razmotriti njegovu primjenu u narednom desetljeću i istražiti mogućnosti financijskog poticanja proizvodnje i potrošnje vodika. U tu svrhu će se formirati platforma za tehnologiju vodika koja će povezati nacionalne dionike relevantne za istraživanje i primjenu tehnologije vodika, pratiti razvoj tehnologija vodika na EU i međunarodnoj razini te služiti kao poveznica između nacionalne, EU i međunarodne razine.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Sustav obveze energetske učinkovitosti za opskrbljivače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Obveznici sustava obveza energetske učinkovitosti su opskrbljivači energijom. Cilj je postići smanjenje potrošnje energije kod krajnjih potrošača.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MCC-15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Integrirani informacijski sustav za praćenje energetske učinkovitosti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Sustav za mjerenje i verifikaciju ušteda energije (SMiV) uspostavljen je na temelju Zakona o energetskoj učinkovitosti i Pravilnikom o sustavu za praćenje, mjerenje i verifikaciju ušteda energije. Sustav je izuzetno važan jer se kroz njega prate uštede energije i rezultirajuće smanjenje stakleničkih plinova te se podatci iz sustava koriste za izvješćivanje. U sljedećem razdoblju nužno je održavati i unaprjeđivati funkcionalnost sustava, povezati ga s drugim sustavima (ISGE) te informirati i obučavati obveznike o pravilnom unosu podatka potrebnih za izračun i verifikaciju ušteda energije.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MCC-16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Zelena javna nabava</w:t>
            </w:r>
          </w:p>
        </w:tc>
        <w:tc>
          <w:tcPr>
            <w:tcW w:w="9217" w:type="dxa"/>
            <w:vAlign w:val="center"/>
          </w:tcPr>
          <w:p w:rsidR="00476A13" w:rsidRPr="00654E3B" w:rsidRDefault="00726324">
            <w:pPr>
              <w:spacing w:line="240" w:lineRule="auto"/>
              <w:rPr>
                <w:rFonts w:eastAsia="Times New Roman" w:cs="Times New Roman"/>
                <w:sz w:val="20"/>
                <w:lang w:eastAsia="hr-HR"/>
              </w:rPr>
            </w:pPr>
            <w:r w:rsidRPr="00654E3B">
              <w:rPr>
                <w:rFonts w:eastAsia="Times New Roman" w:cs="Times New Roman"/>
                <w:sz w:val="20"/>
                <w:lang w:eastAsia="hr-HR"/>
              </w:rPr>
              <w:t xml:space="preserve">Vlada Republike Hrvatske usvojila je 2015. godine I. nacionalni akcijski plan za Zelenu javnu nabavu za razdoblje od 2015. do 2017. godine s pogledom do 2020. godine te je zelena javna nabava prihvaćena kao mjera u 4. NAPENU, koji postavlja cilj da do 2020. godine u 50 </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provedenih postupaka javne nabave budu primijenjena mjerila zelene javne nabave. Zelenom javnom nabavom poticat će se nabava inovativnih niskougljičnih proizvoda i usluga, čime će se dodatno potaknuti njihov ulazak na tržište, a javni sektor će služiti kao dobar primjer. Strateški </w:t>
            </w:r>
            <w:r w:rsidRPr="00654E3B">
              <w:rPr>
                <w:rFonts w:eastAsia="Times New Roman" w:cs="Times New Roman"/>
                <w:sz w:val="20"/>
                <w:lang w:eastAsia="hr-HR"/>
              </w:rPr>
              <w:lastRenderedPageBreak/>
              <w:t xml:space="preserve">cilj je u 2030. godini imati 75 </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provedenih postupaka javne nabave za prioritetne skupine proizvoda s promijenjenim mjerilima zelene javne nabave. </w:t>
            </w:r>
          </w:p>
          <w:p w:rsidR="00726324" w:rsidRPr="00654E3B" w:rsidRDefault="00726324">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ENU-9</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MCC-17</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Utvrđivanje polazišta, nacionalnih ciljeva, indikatora za praćenje ostvarenja te uspostava sustava za praćenje ostvarenja zadanih ciljeva istraživanja, inovacija i konkurentnosti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Razrada ciljeva i sustava praćenja te uspostava sustava praćenja ostvarenja na području istraživanja i razvoja, inovacija i konkurentnosti povezanih s energetskom unijom; definiranje ključnih tehnologija za niskougljičnu tranziciju.</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MCC-18</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Sufinanciranje projekata industrijskog istraživanja i eksperimentalnog razvoja usklađenih s Nacionalnom razvojnom strategijom</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Mjerom se potiče istraživanje i razvoj proizvoda i usluga relevantnih za niskougljični razvoj, sufinanciranjem istraživačkih projekata u okviru prioritetnih tema.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MCC-19</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Poticanje razvoja poduzetništva na području niskougljičnog gospodarstva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Mjerom se potiče razvoj poduzetništva na području niskougljičnih proizvoda i usluga, sufinanciranjem poduzetničkih aktivnosti u ovom području.</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MCC-20</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Poticanje transfera znanja i tehnologija iz sustava znanosti u sustav gospodarstva s naglaskom na niskougljične tehnologije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t>Mjerom se potiče razvoj osnovanih i funkcionalnih ureda za transfer tehnologije i znanstveno-tehnologijskih parkova s ciljem prijenosa znanja i razvoja tehnologija koje će pridonijeti razvoju niskougljičnog gospodarstva.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Poticanje daljnjeg rada znanstvenih centara izvrsnosti osnovanih u području prirodnih, tehničkih, biotehničkih i biomedicinskih znanosti</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 xml:space="preserve">Mjerom se potiče daljnji rad osnovanih i centara izvrsnosti čiji je rad pozitivno ocijenjen u periodičkom postupku evaluacije s ciljem daljnjeg razvoja niskougljičnog gospodarstva.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Izgradnja kapaciteta za poticanje istraživanja i inovacija te povećanje konkurentnosti u </w:t>
            </w:r>
            <w:r w:rsidRPr="00654E3B">
              <w:rPr>
                <w:rFonts w:cs="Times New Roman"/>
                <w:sz w:val="20"/>
              </w:rPr>
              <w:lastRenderedPageBreak/>
              <w:t>području niskougljičnog gospodarstva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lastRenderedPageBreak/>
              <w:t>Izgradit će se kapaciteti institucija uključenih u poticanje i praćenje istraživanja, inovacija i konkurentnosti na području niskougljičnog gospodarstva.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szCs w:val="20"/>
              </w:rPr>
              <w:t>Jačanje kapaciteta županijskih zavoda za prostorno uređenje I Zavoda za prostorno uređenje Grada Zagreba kao područnih (regionalnih) središta za održivi razvoj i klimatske aktivnosti u djelokrugu njihovog rada</w:t>
            </w:r>
          </w:p>
        </w:tc>
        <w:tc>
          <w:tcPr>
            <w:tcW w:w="9217" w:type="dxa"/>
            <w:vAlign w:val="center"/>
          </w:tcPr>
          <w:p w:rsidR="007D4A93" w:rsidRPr="00654E3B" w:rsidRDefault="00EF0BEB" w:rsidP="006F1C3F">
            <w:pPr>
              <w:spacing w:line="240" w:lineRule="auto"/>
              <w:rPr>
                <w:rFonts w:cs="Times New Roman"/>
                <w:sz w:val="20"/>
              </w:rPr>
            </w:pPr>
            <w:r w:rsidRPr="00654E3B">
              <w:rPr>
                <w:rFonts w:eastAsia="Times New Roman" w:cs="Times New Roman"/>
                <w:sz w:val="20"/>
                <w:szCs w:val="20"/>
                <w:lang w:eastAsia="hr-HR"/>
              </w:rPr>
              <w:t>Županijski zavodi za prostorno uređenje i Zavod za prostorno uređenje Grada Zagreba</w:t>
            </w:r>
            <w:r w:rsidRPr="00654E3B">
              <w:rPr>
                <w:rFonts w:cs="Times New Roman"/>
                <w:sz w:val="20"/>
                <w:szCs w:val="20"/>
              </w:rPr>
              <w:t>, kojima je osnovna zadaća izrada, odnosno koordinacija izrade i praćenje provedbe prostornih planova i izrada izvješća o stanju u prostoru mogu</w:t>
            </w:r>
            <w:r w:rsidR="00EE7A3B" w:rsidRPr="00654E3B">
              <w:rPr>
                <w:rFonts w:cs="Times New Roman"/>
                <w:sz w:val="20"/>
                <w:szCs w:val="20"/>
              </w:rPr>
              <w:t xml:space="preserve"> </w:t>
            </w:r>
            <w:r w:rsidRPr="00654E3B">
              <w:rPr>
                <w:rFonts w:cs="Times New Roman"/>
                <w:sz w:val="20"/>
                <w:szCs w:val="20"/>
              </w:rPr>
              <w:t xml:space="preserve">, </w:t>
            </w:r>
            <w:r w:rsidR="006F1C3F" w:rsidRPr="00654E3B">
              <w:rPr>
                <w:rFonts w:cs="Times New Roman"/>
                <w:sz w:val="20"/>
                <w:szCs w:val="20"/>
              </w:rPr>
              <w:t xml:space="preserve">u </w:t>
            </w:r>
            <w:r w:rsidRPr="00654E3B">
              <w:rPr>
                <w:rFonts w:cs="Times New Roman"/>
                <w:sz w:val="20"/>
                <w:szCs w:val="20"/>
              </w:rPr>
              <w:t xml:space="preserve">djelokrugu njihovog rada biti područna (regionalna) središta za održivi razvoj i klimatske aktivnosti. Prostorni i urbanistički planovi su jedan od najvažnijih instrumenata za provođenje klimatskih politika i imaju snagu i pravnu </w:t>
            </w:r>
            <w:r w:rsidR="00F11B9B" w:rsidRPr="00654E3B">
              <w:rPr>
                <w:rFonts w:cs="Times New Roman"/>
                <w:sz w:val="20"/>
                <w:szCs w:val="20"/>
              </w:rPr>
              <w:t xml:space="preserve">prirodu podzakonskog propisa. </w:t>
            </w:r>
            <w:r w:rsidRPr="00654E3B">
              <w:rPr>
                <w:rFonts w:cs="Times New Roman"/>
                <w:sz w:val="20"/>
                <w:szCs w:val="20"/>
              </w:rPr>
              <w:t>Načelo integralnog pristupa prostornom planiranju jedino osigurava optimalan sinergijski efekt sektorskih politika i mjera niskougljičnog razvoja u cilju smanjenja emisija. Planerska paradigma usmjerena prema niskougljičnom odnosno bezugljičnom razvoju i dekarbonizaciji je polazište za novu generaciju prostornih planova.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MCC-24</w:t>
            </w:r>
          </w:p>
        </w:tc>
        <w:tc>
          <w:tcPr>
            <w:tcW w:w="2832" w:type="dxa"/>
            <w:vAlign w:val="center"/>
          </w:tcPr>
          <w:p w:rsidR="007D4A93" w:rsidRPr="00654E3B" w:rsidRDefault="00EF0BEB">
            <w:pPr>
              <w:spacing w:line="240" w:lineRule="auto"/>
              <w:jc w:val="left"/>
              <w:rPr>
                <w:rFonts w:cs="Times New Roman"/>
                <w:sz w:val="20"/>
                <w:szCs w:val="20"/>
              </w:rPr>
            </w:pPr>
            <w:r w:rsidRPr="00654E3B">
              <w:rPr>
                <w:rFonts w:cs="Times New Roman"/>
                <w:sz w:val="20"/>
                <w:szCs w:val="20"/>
              </w:rPr>
              <w:t>Izmjena regulatornog okvira u području prostornog uređenja</w:t>
            </w:r>
          </w:p>
        </w:tc>
        <w:tc>
          <w:tcPr>
            <w:tcW w:w="9217" w:type="dxa"/>
            <w:vAlign w:val="center"/>
          </w:tcPr>
          <w:p w:rsidR="007D4A93" w:rsidRPr="00654E3B" w:rsidRDefault="00EF0BEB" w:rsidP="00D54E65">
            <w:pPr>
              <w:spacing w:line="240" w:lineRule="auto"/>
              <w:rPr>
                <w:rFonts w:eastAsia="Times New Roman" w:cs="Times New Roman"/>
                <w:sz w:val="20"/>
                <w:szCs w:val="20"/>
                <w:lang w:eastAsia="hr-HR"/>
              </w:rPr>
            </w:pPr>
            <w:r w:rsidRPr="00654E3B">
              <w:rPr>
                <w:rFonts w:eastAsia="Times New Roman" w:cs="Times New Roman"/>
                <w:sz w:val="20"/>
                <w:szCs w:val="20"/>
                <w:lang w:eastAsia="hr-HR"/>
              </w:rPr>
              <w:t>Zakon o prostornom uređenju treba izmijeniti i dopuniti polazištima i ciljevima niskouguljičnog razvoja. Prostorni planovi objedinjuju sve sektorske politike i mjere, od energetskog sektora, prometa, poljoprivrede, gospodarstva, LULUCF i dr</w:t>
            </w:r>
          </w:p>
        </w:tc>
      </w:tr>
      <w:tr w:rsidR="007D4A93" w:rsidRPr="00654E3B">
        <w:trPr>
          <w:trHeight w:val="340"/>
        </w:trPr>
        <w:tc>
          <w:tcPr>
            <w:tcW w:w="13178" w:type="dxa"/>
            <w:gridSpan w:val="3"/>
            <w:vAlign w:val="center"/>
          </w:tcPr>
          <w:p w:rsidR="007D4A93" w:rsidRPr="00654E3B" w:rsidRDefault="00EF0BEB">
            <w:pPr>
              <w:spacing w:line="240" w:lineRule="auto"/>
              <w:rPr>
                <w:rFonts w:cs="Times New Roman"/>
                <w:b/>
                <w:sz w:val="20"/>
              </w:rPr>
            </w:pPr>
            <w:r w:rsidRPr="00654E3B">
              <w:rPr>
                <w:rFonts w:cs="Times New Roman"/>
                <w:b/>
                <w:sz w:val="20"/>
              </w:rPr>
              <w:t>ENERGETIKA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Promoviranje nZEB standarda gradnje i obnove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Nakon 31.12.2018. godine sve javne zgrade u Republici Hrvatskoj u kojima borave ili su u vlasništvu javnih tijela moraju biti izgrađene prema nZEB standardu, a obveza za sve ostale novoizgrađene zgrade nastupa nakon 31.12.2020. godine. Navedene zakonske odredbe osiguravaju da sve novoizgrađene zgrade od 2021. godine pa nadalje budu u nZEB standardu. Ipak, kako bi se osigurala ispravna primjena ovih odredbi, ali i potaknula energetska obnova zgrada do nZEB standarda, u sljedećem se razdoblju planira provoditi niz informativno-edukacijskih aktivnosti za promociju izgradnje i obnove po nZEB standardu.</w:t>
            </w:r>
          </w:p>
          <w:p w:rsidR="00476A13" w:rsidRPr="00654E3B" w:rsidRDefault="00476A13">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ENU-2</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Program energetske obnove višestambenih zgrada</w:t>
            </w:r>
          </w:p>
        </w:tc>
        <w:tc>
          <w:tcPr>
            <w:tcW w:w="9217" w:type="dxa"/>
            <w:vAlign w:val="center"/>
          </w:tcPr>
          <w:p w:rsidR="007D4A93" w:rsidRPr="00654E3B" w:rsidRDefault="001A5D3F" w:rsidP="001A5D3F">
            <w:pPr>
              <w:spacing w:line="240" w:lineRule="auto"/>
              <w:rPr>
                <w:rFonts w:eastAsia="Times New Roman" w:cs="Times New Roman"/>
                <w:sz w:val="20"/>
                <w:lang w:eastAsia="hr-HR"/>
              </w:rPr>
            </w:pPr>
            <w:r w:rsidRPr="00654E3B">
              <w:rPr>
                <w:rFonts w:eastAsia="Times New Roman" w:cs="Times New Roman"/>
                <w:sz w:val="20"/>
                <w:lang w:eastAsia="hr-HR"/>
              </w:rPr>
              <w:t>Program poti</w:t>
            </w:r>
            <w:r w:rsidR="00ED091A" w:rsidRPr="00654E3B">
              <w:rPr>
                <w:rFonts w:eastAsia="Times New Roman" w:cs="Times New Roman"/>
                <w:sz w:val="20"/>
                <w:lang w:eastAsia="hr-HR"/>
              </w:rPr>
              <w:t>če</w:t>
            </w:r>
            <w:r w:rsidRPr="00654E3B">
              <w:rPr>
                <w:rFonts w:eastAsia="Times New Roman" w:cs="Times New Roman"/>
                <w:sz w:val="20"/>
                <w:lang w:eastAsia="hr-HR"/>
              </w:rPr>
              <w:t xml:space="preserve"> dubinsku obnovu zgrada te sveobuhvatnu obnovu. 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 </w:t>
            </w:r>
            <w:r w:rsidR="00ED091A" w:rsidRPr="00654E3B">
              <w:rPr>
                <w:rFonts w:eastAsia="Times New Roman" w:cs="Times New Roman"/>
                <w:sz w:val="20"/>
                <w:lang w:eastAsia="hr-HR"/>
              </w:rPr>
              <w:t>Potrebno je s</w:t>
            </w:r>
            <w:r w:rsidRPr="00654E3B">
              <w:rPr>
                <w:rFonts w:eastAsia="Times New Roman" w:cs="Times New Roman"/>
                <w:sz w:val="20"/>
                <w:lang w:eastAsia="hr-HR"/>
              </w:rPr>
              <w:t>nažnije poticati obnovu do nZEB standarda utvrđenog za obnovu. Provedba Programa mora biti praćena snažnim promotivnim aktivnostima, osiguranom tehničkom pomoći prijaviteljima te je nužno osigurati praćenje potrošnje energije prije i nakon energetske obnove, za što je potrebno stvoriti preduvjete u sklopu ISGE-a. Uštede su izračunate uz pretpostavku energetske obnove zgrada na razinu zadovoljavanja uvjeta iz Tehničkog propisa propisom o racionalnoj uporabi energije i toplinskoj zaštiti u zgradama, prema razdobljima izgradnje zgrada, po godišnjoj stopi obnove koja na početku razdoblja (2021. godine) iznosi 1</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a potom se do 2030, godine postupno povećava na 3 </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Godišnje uštede iznose 0,148 PJ. </w:t>
            </w:r>
          </w:p>
          <w:p w:rsidR="00476A13" w:rsidRPr="00654E3B" w:rsidRDefault="00476A13">
            <w:pPr>
              <w:spacing w:line="240" w:lineRule="auto"/>
              <w:rPr>
                <w:rFonts w:eastAsia="Times New Roman" w:cs="Times New Roman"/>
                <w:sz w:val="20"/>
                <w:lang w:eastAsia="hr-HR"/>
              </w:rPr>
            </w:pPr>
            <w:r w:rsidRPr="00654E3B">
              <w:rPr>
                <w:rFonts w:eastAsia="Times New Roman" w:cs="Times New Roman"/>
                <w:sz w:val="20"/>
                <w:lang w:eastAsia="hr-HR"/>
              </w:rPr>
              <w:lastRenderedPageBreak/>
              <w:t>Oznaka mjere u Dugoročnoj strategiji obnove: ENU-3</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Program energetske obnove obiteljskih kuća</w:t>
            </w:r>
          </w:p>
        </w:tc>
        <w:tc>
          <w:tcPr>
            <w:tcW w:w="9217" w:type="dxa"/>
            <w:vAlign w:val="center"/>
          </w:tcPr>
          <w:p w:rsidR="001A5D3F" w:rsidRPr="00654E3B" w:rsidRDefault="00A517AA">
            <w:pPr>
              <w:spacing w:line="240" w:lineRule="auto"/>
              <w:rPr>
                <w:rFonts w:eastAsia="Times New Roman" w:cs="Times New Roman"/>
                <w:sz w:val="20"/>
                <w:lang w:eastAsia="hr-HR"/>
              </w:rPr>
            </w:pPr>
            <w:r w:rsidRPr="00654E3B">
              <w:rPr>
                <w:rFonts w:eastAsia="Times New Roman" w:cs="Times New Roman"/>
                <w:sz w:val="20"/>
                <w:lang w:eastAsia="hr-HR"/>
              </w:rPr>
              <w:t xml:space="preserve">Program </w:t>
            </w:r>
            <w:r w:rsidR="00E73BF9" w:rsidRPr="00654E3B">
              <w:rPr>
                <w:rFonts w:eastAsia="Times New Roman" w:cs="Times New Roman"/>
                <w:sz w:val="20"/>
                <w:lang w:eastAsia="hr-HR"/>
              </w:rPr>
              <w:t xml:space="preserve">će </w:t>
            </w:r>
            <w:r w:rsidR="00737AFA" w:rsidRPr="00654E3B">
              <w:rPr>
                <w:rFonts w:eastAsia="Times New Roman" w:cs="Times New Roman"/>
                <w:sz w:val="20"/>
                <w:lang w:eastAsia="hr-HR"/>
              </w:rPr>
              <w:t>osigurava</w:t>
            </w:r>
            <w:r w:rsidR="00E73BF9" w:rsidRPr="00654E3B">
              <w:rPr>
                <w:rFonts w:eastAsia="Times New Roman" w:cs="Times New Roman"/>
                <w:sz w:val="20"/>
                <w:lang w:eastAsia="hr-HR"/>
              </w:rPr>
              <w:t>ti</w:t>
            </w:r>
            <w:r w:rsidR="00737AFA" w:rsidRPr="00654E3B">
              <w:rPr>
                <w:rFonts w:eastAsia="Times New Roman" w:cs="Times New Roman"/>
                <w:sz w:val="20"/>
                <w:lang w:eastAsia="hr-HR"/>
              </w:rPr>
              <w:t xml:space="preserve"> </w:t>
            </w:r>
            <w:r w:rsidRPr="00654E3B">
              <w:rPr>
                <w:rFonts w:eastAsia="Times New Roman" w:cs="Times New Roman"/>
                <w:sz w:val="20"/>
                <w:lang w:eastAsia="hr-HR"/>
              </w:rPr>
              <w:t xml:space="preserve">kontinuiranu provedbu obnove obiteljskih kuća </w:t>
            </w:r>
            <w:r w:rsidR="00E73BF9" w:rsidRPr="00654E3B">
              <w:rPr>
                <w:rFonts w:eastAsia="Times New Roman" w:cs="Times New Roman"/>
                <w:sz w:val="20"/>
                <w:lang w:eastAsia="hr-HR"/>
              </w:rPr>
              <w:t xml:space="preserve">objavom </w:t>
            </w:r>
            <w:r w:rsidRPr="00654E3B">
              <w:rPr>
                <w:rFonts w:eastAsia="Times New Roman" w:cs="Times New Roman"/>
                <w:sz w:val="20"/>
                <w:lang w:eastAsia="hr-HR"/>
              </w:rPr>
              <w:t xml:space="preserve">javnih poziva za dodjelu bespovratnih sredstava svake godine u razdoblju 2021.-2030. Programom se treba ostaviti mogućnost provedbe individualnih mjera, ali uz uvažavanje redoslijeda provedbe mjera (npr. zamjenu sustava grijanja učinkovitijim sustavom koji koristi OIE treba omogućiti samo onim kućama koje imaju dobre toplinske karakteristike i ne trebaju zahvate na ovojnici). </w:t>
            </w:r>
            <w:r w:rsidR="00737AFA" w:rsidRPr="00654E3B">
              <w:rPr>
                <w:rFonts w:eastAsia="Times New Roman" w:cs="Times New Roman"/>
                <w:sz w:val="20"/>
                <w:lang w:eastAsia="hr-HR"/>
              </w:rPr>
              <w:t>P</w:t>
            </w:r>
            <w:r w:rsidRPr="00654E3B">
              <w:rPr>
                <w:rFonts w:eastAsia="Times New Roman" w:cs="Times New Roman"/>
                <w:sz w:val="20"/>
                <w:lang w:eastAsia="hr-HR"/>
              </w:rPr>
              <w:t xml:space="preserve">otrebno </w:t>
            </w:r>
            <w:r w:rsidR="00737AFA" w:rsidRPr="00654E3B">
              <w:rPr>
                <w:rFonts w:eastAsia="Times New Roman" w:cs="Times New Roman"/>
                <w:sz w:val="20"/>
                <w:lang w:eastAsia="hr-HR"/>
              </w:rPr>
              <w:t xml:space="preserve">je snažnije </w:t>
            </w:r>
            <w:r w:rsidRPr="00654E3B">
              <w:rPr>
                <w:rFonts w:eastAsia="Times New Roman" w:cs="Times New Roman"/>
                <w:sz w:val="20"/>
                <w:lang w:eastAsia="hr-HR"/>
              </w:rPr>
              <w:t>poticati dubinsku obnovu te obnovu do nZEB standarda utvrđenog za obnovu. 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w:t>
            </w:r>
            <w:r w:rsidR="00E73BF9" w:rsidRPr="00654E3B">
              <w:rPr>
                <w:rFonts w:eastAsia="Times New Roman" w:cs="Times New Roman"/>
                <w:sz w:val="20"/>
                <w:lang w:eastAsia="hr-HR"/>
              </w:rPr>
              <w:t xml:space="preserve"> </w:t>
            </w:r>
            <w:r w:rsidRPr="00654E3B">
              <w:rPr>
                <w:rFonts w:eastAsia="Times New Roman" w:cs="Times New Roman"/>
                <w:sz w:val="20"/>
                <w:lang w:eastAsia="hr-HR"/>
              </w:rPr>
              <w:t xml:space="preserve">Programom će se obuhvatiti i segment građana u riziku od energetskog siromaštva. </w:t>
            </w:r>
            <w:r w:rsidR="001A5D3F" w:rsidRPr="00654E3B">
              <w:rPr>
                <w:rFonts w:eastAsia="Times New Roman" w:cs="Times New Roman"/>
                <w:sz w:val="20"/>
                <w:lang w:eastAsia="hr-HR"/>
              </w:rPr>
              <w:t>Oznaka mjere u Dugoročnoj strategiji obnove: ENU-4</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MEN-4</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Program energetske obnove zgrada javnog sektora</w:t>
            </w:r>
          </w:p>
          <w:p w:rsidR="007D4A93" w:rsidRPr="00654E3B" w:rsidRDefault="007D4A93">
            <w:pPr>
              <w:spacing w:line="240" w:lineRule="auto"/>
              <w:jc w:val="left"/>
              <w:rPr>
                <w:rFonts w:cs="Times New Roman"/>
                <w:sz w:val="20"/>
              </w:rPr>
            </w:pPr>
          </w:p>
        </w:tc>
        <w:tc>
          <w:tcPr>
            <w:tcW w:w="9217" w:type="dxa"/>
            <w:vAlign w:val="center"/>
          </w:tcPr>
          <w:p w:rsidR="00D84124" w:rsidRPr="00654E3B" w:rsidRDefault="00D84124" w:rsidP="00D84124">
            <w:pPr>
              <w:spacing w:line="240" w:lineRule="auto"/>
              <w:rPr>
                <w:rFonts w:eastAsia="Times New Roman" w:cs="Times New Roman"/>
                <w:sz w:val="20"/>
                <w:lang w:eastAsia="hr-HR"/>
              </w:rPr>
            </w:pPr>
            <w:r w:rsidRPr="00654E3B">
              <w:rPr>
                <w:rFonts w:eastAsia="Times New Roman" w:cs="Times New Roman"/>
                <w:sz w:val="20"/>
                <w:lang w:eastAsia="hr-HR"/>
              </w:rPr>
              <w:t xml:space="preserve">Obnovu zgrada javnog sektora nužno je usmjeriti prema nZEB standardu utvrđenom za obnovu svugdje gdje je to tehnički izvedivo. U slučaju zgrada koje se podvrgavaju značajnoj obnovi poticati će se visokoučinkoviti alternativni sustavi, u mjeri u kojoj je to tehnički, funkcionalno i gospodarski izvedivo te će se posebna pažnja posvetiti osiguranju zdravih unutarnjih klimatskih uvjeta, zaštiti od požara i rizika povezanih s pojačanom seizmičkom aktivnosti. </w:t>
            </w:r>
            <w:r w:rsidR="00E73BF9" w:rsidRPr="00654E3B">
              <w:rPr>
                <w:rFonts w:eastAsia="Times New Roman" w:cs="Times New Roman"/>
                <w:sz w:val="20"/>
                <w:lang w:eastAsia="hr-HR"/>
              </w:rPr>
              <w:t>Sredstva je potrebno planirati tako da se osigura i aktiviranje privatnog kapitala i ESCO tržišta, poglavito za zgrade koje su prikladne za ovakve modele financiranja (zgrade s kontinuiranim radom, kao što su bolnice, kaznionice, domovi za smještaj starijih i sl.) i koje pripadaju kategoriji zgrada središnje države, za koje postoji obvezujući cilj obnove definiran u Direktivi 2012/27/EU o energetskoj učinkovitosti.</w:t>
            </w:r>
          </w:p>
          <w:p w:rsidR="00D84124" w:rsidRPr="00654E3B" w:rsidRDefault="00D84124">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ENU-5</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MEN-5</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Program energetske obnove zgrada koje imaju status kulturnog dobra</w:t>
            </w:r>
          </w:p>
        </w:tc>
        <w:tc>
          <w:tcPr>
            <w:tcW w:w="9217" w:type="dxa"/>
            <w:vAlign w:val="center"/>
          </w:tcPr>
          <w:p w:rsidR="00DF34E8" w:rsidRPr="00654E3B" w:rsidRDefault="00DF34E8" w:rsidP="00DF34E8">
            <w:pPr>
              <w:spacing w:line="240" w:lineRule="auto"/>
              <w:rPr>
                <w:rFonts w:eastAsia="Times New Roman" w:cs="Times New Roman"/>
                <w:sz w:val="20"/>
                <w:lang w:eastAsia="hr-HR"/>
              </w:rPr>
            </w:pPr>
            <w:r w:rsidRPr="00654E3B">
              <w:rPr>
                <w:rFonts w:eastAsia="Times New Roman" w:cs="Times New Roman"/>
                <w:sz w:val="20"/>
                <w:lang w:eastAsia="hr-HR"/>
              </w:rPr>
              <w:t xml:space="preserve">Zaštićene zgrade u smislu ovog Programa su one koje se mogu svrstati u dvije kategorije: Pojedinačno zaštićena kulturna dobra (pojedinačne građevine i graditeljski sklopovi) i Zgrade koje se nalaze unutar zaštićene kulturno-povijesne cjeline. Program ne obuhvaća zgrade zaštićene kao preventivno zaštićeno dobro, niti zgrade evidentirane kao graditeljska baština u prostorno planskoj dokumentaciji. Kroz Program </w:t>
            </w:r>
            <w:r w:rsidR="00E73BF9" w:rsidRPr="00654E3B">
              <w:rPr>
                <w:rFonts w:eastAsia="Times New Roman" w:cs="Times New Roman"/>
                <w:sz w:val="20"/>
                <w:lang w:eastAsia="hr-HR"/>
              </w:rPr>
              <w:t xml:space="preserve">su </w:t>
            </w:r>
            <w:r w:rsidRPr="00654E3B">
              <w:rPr>
                <w:rFonts w:eastAsia="Times New Roman" w:cs="Times New Roman"/>
                <w:sz w:val="20"/>
                <w:lang w:eastAsia="hr-HR"/>
              </w:rPr>
              <w:t>razvijena dva osnovna pristupa energetskoj obnovi zgrada koje su predmet ovog Programa</w:t>
            </w:r>
            <w:r w:rsidR="00FD65D8" w:rsidRPr="00654E3B">
              <w:rPr>
                <w:rFonts w:eastAsia="Times New Roman" w:cs="Times New Roman"/>
                <w:sz w:val="20"/>
                <w:lang w:eastAsia="hr-HR"/>
              </w:rPr>
              <w:t>:</w:t>
            </w:r>
            <w:r w:rsidRPr="00654E3B">
              <w:rPr>
                <w:rFonts w:eastAsia="Times New Roman" w:cs="Times New Roman"/>
                <w:sz w:val="20"/>
                <w:lang w:eastAsia="hr-HR"/>
              </w:rPr>
              <w:t xml:space="preserve"> </w:t>
            </w:r>
            <w:r w:rsidR="00FD65D8" w:rsidRPr="00654E3B">
              <w:rPr>
                <w:rFonts w:eastAsia="Times New Roman" w:cs="Times New Roman"/>
                <w:sz w:val="20"/>
                <w:lang w:eastAsia="hr-HR"/>
              </w:rPr>
              <w:t>in</w:t>
            </w:r>
            <w:r w:rsidRPr="00654E3B">
              <w:rPr>
                <w:rFonts w:eastAsia="Times New Roman" w:cs="Times New Roman"/>
                <w:sz w:val="20"/>
                <w:lang w:eastAsia="hr-HR"/>
              </w:rPr>
              <w:t>tegralni pristup te pristup s primjenom pojedinačnih mjera energetske obnove.</w:t>
            </w:r>
          </w:p>
          <w:p w:rsidR="00A615A3" w:rsidRPr="00654E3B" w:rsidRDefault="00A615A3" w:rsidP="00DF34E8">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ENU-6</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Program energetske obnove javne rasvjete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Energetska obnova javne rasvjete u Republici Hrvatskoj trenutno se provodi se korištenjem ESI sredstava iz Europskog fonda za regionalni razvij i to korištenjem financijskog instrumenta kredita s povoljnim kamatnim stopama kojega JLP(R)S-ima nudi HBOR . U tu svrhu raspoloživo je 152 milijuna kn, a kreditom se pokriva do 100</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prihvatljivih troškova projekta. Predviđa se da će se ova financijska alokacija iskoristiti do 2020. godine, a najkasnije do 2023. godine. Procijenjene uštede ove prve faze Programa su oko 15 GWh u 2020. (2023.) godini. S obzirom na značajan potencijal koji postoji u sustavima javne rasvjete, planira se korištenje ESI fondova i u </w:t>
            </w:r>
            <w:r w:rsidRPr="00654E3B">
              <w:rPr>
                <w:rFonts w:eastAsia="Times New Roman" w:cs="Times New Roman"/>
                <w:sz w:val="20"/>
                <w:lang w:eastAsia="hr-HR"/>
              </w:rPr>
              <w:lastRenderedPageBreak/>
              <w:t xml:space="preserve">sljedećem programskom razdoblju 2021.-2027. godine. Programiranjem veće alokacije sredstava za ovu svrhu, mogao bi se iskoristiti postojeći potencijal do kraja 2030. godine, koji je procijenjen na oko 225 – 280 GWh. Istodobno, obnovom javne rasvjete ostvarilo bi se zadovoljavanje tehničkih normi za rasvijetljenost prometnica, što znači da bi se poboljšala sigurnost prometa te bi se smanjilo svjetlosno onečišćenje.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Sustavno gospodarenje energijom u javnom sektoru</w:t>
            </w:r>
          </w:p>
        </w:tc>
        <w:tc>
          <w:tcPr>
            <w:tcW w:w="9217" w:type="dxa"/>
            <w:vAlign w:val="center"/>
          </w:tcPr>
          <w:p w:rsidR="007D4A93" w:rsidRPr="00654E3B" w:rsidRDefault="004207E3">
            <w:pPr>
              <w:spacing w:line="240" w:lineRule="auto"/>
              <w:rPr>
                <w:rFonts w:eastAsia="Times New Roman" w:cs="Times New Roman"/>
                <w:sz w:val="20"/>
                <w:lang w:eastAsia="hr-HR"/>
              </w:rPr>
            </w:pPr>
            <w:r w:rsidRPr="00654E3B">
              <w:rPr>
                <w:rFonts w:eastAsia="Times New Roman" w:cs="Times New Roman"/>
                <w:sz w:val="20"/>
                <w:lang w:eastAsia="hr-HR"/>
              </w:rPr>
              <w:t>Javni sektor u Hrvatskoj obvezan je sustavno gospodariti energijom, što je posebno propisano Zakonom o energetskoj učinkovitosti odnosno Pravilnikom o sustavnom gospodarenju energijom. Temelj mjere je informacijski sustav za gospodarenje energijom (ISGE)</w:t>
            </w:r>
            <w:r w:rsidR="00FD65D8" w:rsidRPr="00654E3B">
              <w:rPr>
                <w:rFonts w:eastAsia="Times New Roman" w:cs="Times New Roman"/>
                <w:sz w:val="20"/>
                <w:lang w:eastAsia="hr-HR"/>
              </w:rPr>
              <w:t>.</w:t>
            </w:r>
            <w:r w:rsidRPr="00654E3B">
              <w:rPr>
                <w:rFonts w:eastAsia="Times New Roman" w:cs="Times New Roman"/>
                <w:sz w:val="20"/>
                <w:lang w:eastAsia="hr-HR"/>
              </w:rPr>
              <w:t xml:space="preserve"> Strateški cilj je obuhvatiti i redovno pratiti ISGE-om sve zgrade javnog sektora i sustave javne rasvjete do kraja 2030. godine. Uštede temeljene na aktivnostima sustavnog gospodarenja energijom i uvođenja daljinskog mjerenja u prethodnom razdoblju su utvrđene na oko 335 TJ godišnje (prema 4. NAPENU). </w:t>
            </w:r>
          </w:p>
          <w:p w:rsidR="004207E3" w:rsidRPr="00654E3B" w:rsidRDefault="004207E3">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ENU-7</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MEN-8</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Sustavno gospodarenje energijom u poslovnom (uslužnom i proizvodnom) sektoru</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Iako su velika poduzeća obvezna redovno provoditi energetske preglede, ova obveza ne osigurava kontinuiranu brigu o potrošnji energije u poduzeću niti obuhvaća mala i srednja poduzeća. Kako bi se poduzeća potaknula na uvođenje certificiranih sustava gospodarenja energijom (kao ISO 50001), do 2020. godine će se izraditi sveobuhvatna analiza mogućnosti korištenja poreznog sustava (uključujući poreze i parafiskalne namete) za poticanje poduzeća koja uvedu ovakav sustav i time osiguraju kontinuiranu brigu o potrošnji energije.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MEN-9</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Informativni računi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Jedna od temeljnih mjera informiranja potrošača jest zakonska obveza opskrbljivača da barem jednom godišnje dostavljaju potrošačima informativne račune, koji sadrže informacije o obračunu energije te prethodnoj potrošnji krajnjeg kupca za obračunska mjerna mjesta koja su predmet ugovornog odnosa, koje obuhvaćaju usporedbu s prosječnim uobičajenim ili referentnim krajnjim kupcem iz iste kategorije krajnjih kupaca opskrbljivača. Poželjno je frekvenciju primjene ove zakonske odredbe s godišnje razine svesti na mjesečnu razinu te je apsolutno nužno osigurati da regulatorno tijelo za energetiku (HERA) provodi nadzor nad ovim obvezama opskrbljivača energije. Osim toga, na temelju ovih regulatornih odredbi potrebno je i dodatno informirati potrošače o sadržaju i značenju računa, što je zadatak Nacionalnog koordinacijskog tijela (NKT) za energetsku učinkovitost.</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MEN-10</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Informiranje o energetskoj učinkovitosti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Informiranje opće javnosti i ciljnih skupina provodit će se organizacijom ciljanih info-kampanja vezanih uz specifične programe poticanja energetske učinkovitosti, poglavito energetske obnove zgrada. NKT će održavati nacionalni portal energetske učinkovitosti i kroz osiguranje ažurnih informacija osigurati kontinuiranu promociju energetske učinkovitosti i energetskih usluga. Posebnu je pozornost u sljedećem razdoblju potrebno dati informiranju potrošača o dužnostima opskrbljivača u sklopu sustava obveza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Obrazovanje u području energetske učinkovitosti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Osposobljavanje će se ostvariti kroz nastavak provedbe postojeće mjere te prilagođavanje aktivnosti potrebama i stvarnoj situaciji. Poglavito je važno sustavno raditi na privlačenju mladih ljudi u građevinska i ostala tehnička zanimanja, što će dugoročno doprinijeti raspoloživosti stručnih kapaciteta za provedbu energetske obnove zgrada, </w:t>
            </w:r>
            <w:r w:rsidRPr="00654E3B">
              <w:rPr>
                <w:rFonts w:eastAsia="Times New Roman" w:cs="Times New Roman"/>
                <w:sz w:val="20"/>
                <w:lang w:eastAsia="hr-HR"/>
              </w:rPr>
              <w:lastRenderedPageBreak/>
              <w:t xml:space="preserve">koja je temelj za postizanje zacrtanih energetsko-klimatskih ciljeva. Kroz obrazovanje u području energetske učinkovitosti postavit će se i primjenjivati principi zelene gradnje: potrebno je potaknuti promicanje i implementaciju zelene gradnje (gradnje po principima održivosti) kao bitnog segmenta održivog razvoja i kružnog gospodarstva.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MEN-12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Energetska učinkovitost elektroenergetskog prijenosnog sustava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Sadašnje razine (2018. godina) gubitaka u prijenosnoj mreži Republike Hrvatske iznose oko 2</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prenesene električne energije, što je iznos na razini ostalih operatora prijenosnog sustava ENTSO-E. Važna karakteristika hrvatske prijenosne mreže, kako s aspekta sigurnosti pogona i podržavanja tržišnih aktivnosti, tako i s aspekta gubitaka je izuzetno jaka povezanost sa susjednim elektroenergetskim sustavima (interkonekcije). Dok se s jedne strane time značajno povećava sigurnost pogona, s druge strane se zbog tranzita povećavaju gubici u mreži. HOPS će u razdoblju do 2030. godine nastaviti provoditi mjere vezane za vođenje pogona EES-a i mjere vezane uz razvoj prijenosne mreže, za optimalno (sigurno i efikasno) vođenje pogona.  Za ovu se mjeru predlaže, uz osiguravanje sredstava od strane HOPS-a, programirati korištenje ESI sredstava u sljedećem programskom razdoblju od 2021. do 2027. godine.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Smanjenje gubitaka u distribucijskoj elektroenergetskoj mreži i uvođenje naprednih mreža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HEP-ODS će u razdoblju do 2030. godine nastaviti provoditi aktivnosti za smanjenje tehničkih i netehničkih gubitaka u distribucijskoj elektroenergetskoj mreži. Detaljnom analizom utvrdit će se uzroci povećanih gubitaka u pojedinim dijelovima mreže i prioriteti za provedbu aktivnosti za smanjenje tehničkih i netehničkih gubitaka. Na temelju iskustava iz provedbe pilot projekta uvođenja naprednih mreža na pilot područjima uz korištenje ESI fondova, potrebno je programirati nastavak korištenja ESI sredstava u sljedećem programskom razdoblju od 2021. do 2027. godine za daljnji razvoj naprednih mreža.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Povećanje učinkovitosti sustava toplinarstva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 postojećim velikim centraliziranim toplinskim sustavima veliki izvor gubitaka je dotrajala distribucijska mreža te se ovom mjerom predviđa nastavak zamjene vrelovoda i parovoda s dotrajalom izolacijom čeličnih cjevovoda novim predizoliranim cijevima i tehnološki pomak k četvrtoj generaciji daljinskog grijanja. U manjim sustavima s vlastitim kotlovnicama potrebno je omogućiti rekonstrukciju kotlovnica, poglavito zamjenom visokoučinkovitim kogeneracijskim sustavima ili sustavima koji koriste dizalice topline. Mjera također predviđa i razvoj novih sustava grijanja i hlađenja, koji koriste visokoučinkovitu kogeneraciju ili obnovljive izvore energije. S obzirom na odredbe Direktive 2018/2002 o energetskoj učinkovitosti, a posebice s uvođenjem obaveze individualnog mjerenja na razini krajnjeg potrošača, sustavi daljinskog grijanja su postali sustavi s promjenjivom potražnjom za toplinskom energijom što zahtijeva uvođenje sustava naprednog mjerenja kao dodatan korak integraciji različitih energetskih sustava i povećanju ukupne energetske učinkovitosti.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Povećanje učinkovitosti plinskog sustava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Potencijal za povećanje energetske učinkovitosti transportnog plinskog sustava najveći je u potrošnji prirodnog plina, koji se najvećim dijelom (70</w:t>
            </w:r>
            <w:r w:rsidR="00060992" w:rsidRPr="00654E3B">
              <w:rPr>
                <w:rFonts w:eastAsia="Times New Roman" w:cs="Times New Roman"/>
                <w:sz w:val="20"/>
                <w:lang w:eastAsia="hr-HR"/>
              </w:rPr>
              <w:t xml:space="preserve"> %</w:t>
            </w:r>
            <w:r w:rsidRPr="00654E3B">
              <w:rPr>
                <w:rFonts w:eastAsia="Times New Roman" w:cs="Times New Roman"/>
                <w:sz w:val="20"/>
                <w:lang w:eastAsia="hr-HR"/>
              </w:rPr>
              <w:t>) troši za predgrijavanje prirodnog plina prije isporuke korisnicima, a samo manjim dijelom (30</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za grijanje poslovnih prostorija i različita tehnološka rasterećenja, odnosno ispuhivanje </w:t>
            </w:r>
            <w:r w:rsidRPr="00654E3B">
              <w:rPr>
                <w:rFonts w:eastAsia="Times New Roman" w:cs="Times New Roman"/>
                <w:sz w:val="20"/>
                <w:lang w:eastAsia="hr-HR"/>
              </w:rPr>
              <w:lastRenderedPageBreak/>
              <w:t>sustava. Plinacro će u narednom razdoblju provoditi aktivnosti za poboljšanje energetske učinkovitosti sukladno Desetogodišnjem planu razvoja plinskog transportnog sustava Republike Hrvatske 2018. -2027.</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MEN-16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Informiranje, edukacija i povećanje kapaciteta za korištenje OIE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Informiranje opće javnosti i ciljnih skupina provodit će se organizacijom ciljanih info-kampanja vezanih uz investiranje u sustave koji koriste obnovljive izvore energije, posebice u sustave namijenjene za vlastite potrebe. Informiranje, edukacija i povećanje kapaciteta za korištenje OIE će se provoditi na nacionalnoj razini.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Prostorno-planski preduvjeti za korištenje OIE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Definiranje smjernica i kriterija za uređenje specifičnih prostorno-funkcionalnih elemenata za iskorištavanje OIE, unaprjeđenije i međusektorski usklađivanje prostorno-planskih uvjeta za utvrđivanje prostora pogodnih za izgradnju postrojenja na OIE na državnoj, županijskoj i lokalnoj razini. Usvojit će se smjernice i kriteriji za određivanje prostorno-planskih uvjeta za korištenje prostora namijenjenog izgradnji postrojenja za energetsko iskorištavanje OIE (specifičnih prostorno-funkcionalnih elementa u prostoru) te za eksploatacijska polja geotermalne vode za energetske svrhe. Uvjeti za određivanje lokacija i izgradnju OIE postrojenja integrirat će se u prostorne planove svih županija i u Državni prostorni plan.</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MEN-18</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Poticanje korištenja OIE za proizvodnju električne i toplinske energije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Osiguravanje financijskih poticaja za razvoj projekata korištenja OIE za proizvodnju električne i toplinske energije. Poticanje korištenja OIE za proizvodnju električne i toplinske energije će se provoditi na nacionalnoj razini.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MEN-19</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Razrada regulatornog okvira za korištenje OIE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Potrebno je dopuniti postojeći zakonski okvir i razraditi procedure i praksu. Cilj je do 2025. u potpunosti donijeti regulatorni okvir i uhodane procedure na nacionalnoj razini.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MEN-20</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Integrirano planiranje sigurnosti opskrbe energijom i energentima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Krovna mjera za povećanje energetske sigurnosti je integrirano planiranje sigurnosti opskrbe</w:t>
            </w:r>
            <w:r w:rsidRPr="00654E3B">
              <w:rPr>
                <w:rFonts w:cs="Times New Roman"/>
              </w:rPr>
              <w:t xml:space="preserve"> </w:t>
            </w:r>
            <w:r w:rsidRPr="00654E3B">
              <w:rPr>
                <w:rFonts w:eastAsia="Times New Roman" w:cs="Times New Roman"/>
                <w:sz w:val="20"/>
                <w:lang w:eastAsia="hr-HR"/>
              </w:rPr>
              <w:t>i osiguranja obveznih rezervi u kontekstu svih energenata i svih energetskih sustava. Integrirano planiranje mora biti usuglašeno na lokalnoj, regionalnoj i nacionalnoj razini, te u skladu s energetskim planiranjem koje provode energetski subjekti za energetsku infrastrukturu po teritoriju RH. Osim toga, integrirano planiranje je potrebno uskladiti s planiranjem za alternativna goriva i infrastrukturu za alternativna goriva. To će se planiranje provoditi u okviru revizije Integriranog energetskog i klimatskog plana, koju je potrebno izraditi do 23. lipnja 2023. godine te u okviru izrade i revizije narednih planova. U tu je svrhu potrebno analizirati postojeći regulatorni okvir i po potrebi ga nadopuniti.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Izgradnja i korištenje spremnika energije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 svrhu povećanja mogućnosti skladištenja energije u sustavu i povećanih regulacijskih mogućnosti elektroenergetskog sustava, planirana je izgradnja dodatnih reverzibilnih elektrana snage 150 MW prije 2030. godine, zatim razvoj spremnika topline kod krajnjih kupaca, razvoj baterijskih spremnika, uvođenje punionica za električna vozila koje omogućuju skladištenje energije te korištenje drugih inovativnih tehnologija za pohranu energije (financiranih iz EU sredstava).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MEN-22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Razvoj i održavanje sustava centralne proizvodnje toplinske energije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Centralizirani toplinski sustavi određeni su kao jedan od prioriteta energetske politike RH, Najznačajniji potencijal za razvoj i unaprjeđenje postojećih centraliziranih toplinskih sustava je prvenstveno u povećanju energetske učinkovitosti proizvodnih jedinica, infrastrukture i opreme kod krajnjih korisnika te povećanjem pouzdanosti i sigurnosti opskrbe. Stoga se ovom mjerom previđa održavanje i unaprjeđenje postojećih CTS sustava, zaustavljanje trenda isključivanja korisnika sa sustava CTS-a, uvođenje spremnika topline na električnu energiju te korištenje OIE za CTS i zamjena postojeće proizvodnje CTS-a obnovljivim izvorima (npr. biogorivo), korištenje dizalica topline.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Modernizacija i transformacija rafinerija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 xml:space="preserve">Provedba investicija u modernizaciju i unaprjeđenje proizvodnje kako bi se održala konkurentnost rafinerija.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Mjere povećanja energetske učinkovitosti unapređenjem procesa i procesnih jedinica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Povećanje energetske učinkovitosti postiže se provođenjem mjera koje doprinose smanjenju energetske intenzivnosti putem racionalnijeg korištenja energije i sirovina, dodavanjem aditiva te izmjenama proizvodnih procesa i opreme na crpnim stanicama i u rafinerijama što doprinosi smanjenju fugitivnih emisija.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5</w:t>
            </w:r>
          </w:p>
        </w:tc>
        <w:tc>
          <w:tcPr>
            <w:tcW w:w="2832" w:type="dxa"/>
            <w:vAlign w:val="center"/>
          </w:tcPr>
          <w:p w:rsidR="007D4A93" w:rsidRPr="00654E3B" w:rsidRDefault="00EF0BEB">
            <w:pPr>
              <w:spacing w:line="240" w:lineRule="auto"/>
              <w:jc w:val="left"/>
              <w:rPr>
                <w:rFonts w:eastAsia="Times New Roman" w:cs="Times New Roman"/>
                <w:b/>
                <w:bCs/>
                <w:sz w:val="20"/>
                <w:lang w:eastAsia="hr-HR"/>
              </w:rPr>
            </w:pPr>
            <w:r w:rsidRPr="00654E3B">
              <w:rPr>
                <w:rFonts w:eastAsia="Times New Roman" w:cs="Times New Roman"/>
                <w:bCs/>
                <w:sz w:val="20"/>
                <w:lang w:eastAsia="hr-HR"/>
              </w:rPr>
              <w:t>Spaljivanje metana na baklji</w:t>
            </w:r>
          </w:p>
        </w:tc>
        <w:tc>
          <w:tcPr>
            <w:tcW w:w="9217" w:type="dxa"/>
            <w:vAlign w:val="center"/>
          </w:tcPr>
          <w:p w:rsidR="007D4A93" w:rsidRPr="00654E3B" w:rsidRDefault="00EF0BEB">
            <w:pPr>
              <w:spacing w:line="240" w:lineRule="auto"/>
              <w:rPr>
                <w:rFonts w:eastAsia="Times New Roman" w:cs="Times New Roman"/>
                <w:bCs/>
                <w:sz w:val="20"/>
                <w:lang w:eastAsia="hr-HR"/>
              </w:rPr>
            </w:pPr>
            <w:r w:rsidRPr="00654E3B">
              <w:rPr>
                <w:rFonts w:eastAsia="Times New Roman" w:cs="Times New Roman"/>
                <w:bCs/>
                <w:sz w:val="20"/>
                <w:lang w:eastAsia="hr-HR"/>
              </w:rPr>
              <w:t>S ciljem smanjenja fugitivnih emisija, umjesto otplinjavnja metana, metan se spaljuje na baklji. Na taj način se emisije metana smanjuju za 95-99</w:t>
            </w:r>
            <w:r w:rsidR="00060992" w:rsidRPr="00654E3B">
              <w:rPr>
                <w:rFonts w:eastAsia="Times New Roman" w:cs="Times New Roman"/>
                <w:bCs/>
                <w:sz w:val="20"/>
                <w:lang w:eastAsia="hr-HR"/>
              </w:rPr>
              <w:t xml:space="preserve"> %</w:t>
            </w:r>
            <w:r w:rsidRPr="00654E3B">
              <w:rPr>
                <w:rFonts w:eastAsia="Times New Roman" w:cs="Times New Roman"/>
                <w:bCs/>
                <w:sz w:val="20"/>
                <w:lang w:eastAsia="hr-HR"/>
              </w:rPr>
              <w:t xml:space="preserve"> ovisno o učinkovitosti baklji.</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6</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Razvoj prijenosne elektroenergetske mreže</w:t>
            </w:r>
          </w:p>
        </w:tc>
        <w:tc>
          <w:tcPr>
            <w:tcW w:w="9217" w:type="dxa"/>
            <w:vAlign w:val="center"/>
          </w:tcPr>
          <w:p w:rsidR="007D4A93" w:rsidRPr="00654E3B" w:rsidRDefault="00EF0BEB" w:rsidP="006F1C3F">
            <w:pPr>
              <w:spacing w:line="240" w:lineRule="auto"/>
              <w:rPr>
                <w:rFonts w:eastAsia="Times New Roman" w:cs="Times New Roman"/>
                <w:sz w:val="20"/>
                <w:lang w:eastAsia="hr-HR"/>
              </w:rPr>
            </w:pPr>
            <w:r w:rsidRPr="00654E3B">
              <w:rPr>
                <w:rFonts w:eastAsia="Times New Roman" w:cs="Times New Roman"/>
                <w:sz w:val="20"/>
                <w:lang w:eastAsia="hr-HR"/>
              </w:rPr>
              <w:t>Hrvatski operator prijenosnog sustava d.o.o. (u daljnjem tekstu: HOPS) je prema Zakonu o energiji, energetski subjekt odgovoran za upravljanje, pogon i vođenje, održavanje, razvoj i izgradnju prijenosne elektroenergetske mreže. Na temelju Zakona o tržištu električne energije, HOPS je kao vlasnik prijenosne mreže 110 kV do 400 kV, dužan izraditi i donijeti, uz prethodnu suglasnost Hrvatske energetske regulatorne agencije (u daljnjem tekstu: HERA), desetogodišnje, trogodišnje i jednogodišnje investicijske planove razvoja prijenosne mreže. Desetgodišnji planovi razvoja noveliraju se na godišnjoj razini. U trenutku usvajanja ovog dokumenta relevantan je bio Desetogodišnji plan razvoja prijenosne mreže 2019.-2028., s detaljnom razradom za početno trogodišnje i jednogodišnje razdoblje koji je HERA odobrila u srpnju 2019. godine. Plan će se kontinuirano ažurirati tijekom čitavog razdoblja provedbe ovog dokumenta.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7</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Razvoj plinskog transportnog sustava</w:t>
            </w:r>
          </w:p>
        </w:tc>
        <w:tc>
          <w:tcPr>
            <w:tcW w:w="9217" w:type="dxa"/>
            <w:vAlign w:val="center"/>
          </w:tcPr>
          <w:p w:rsidR="007D4A93" w:rsidRPr="00654E3B" w:rsidRDefault="00EF0BEB" w:rsidP="00060992">
            <w:pPr>
              <w:spacing w:line="240" w:lineRule="auto"/>
              <w:rPr>
                <w:rFonts w:eastAsia="Times New Roman" w:cs="Times New Roman"/>
                <w:sz w:val="20"/>
                <w:lang w:eastAsia="hr-HR"/>
              </w:rPr>
            </w:pPr>
            <w:r w:rsidRPr="00654E3B">
              <w:rPr>
                <w:rFonts w:eastAsia="Times New Roman" w:cs="Times New Roman"/>
                <w:sz w:val="20"/>
                <w:lang w:eastAsia="hr-HR"/>
              </w:rPr>
              <w:t>Planiranje razvoja transportnog sustava provodi se kroz izradu Desetogodišnjeg plana razvoja plinskog transportnog sustava, čija je izrada obveza operatora plinskog transportnog sustava na temelju Zakona o tržištu plina. Operator plinskog transportnog sustava je tvrtka Plinacro d.o.o. Desetgodišnji planovi razvoja plinskog transportnog sustava noveliraju se na godišnjoj razini, a odobrava ih HERA. U trenutku usvajanja ovog dokumenta relevantan je bio Desetogodišnji plan razvoja plinskog transportnog sustava Republike Hrvatske 2018.-2027. Plan će se kontinuirano ažurirati tijekom čitavog razdoblja provedbe ovog dokumenta.</w:t>
            </w:r>
          </w:p>
        </w:tc>
      </w:tr>
      <w:tr w:rsidR="007D4A93" w:rsidRPr="00654E3B">
        <w:trPr>
          <w:trHeight w:val="340"/>
        </w:trPr>
        <w:tc>
          <w:tcPr>
            <w:tcW w:w="1129"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MEN-2</w:t>
            </w:r>
            <w:r w:rsidR="002D2E0A" w:rsidRPr="00654E3B">
              <w:rPr>
                <w:rFonts w:cs="Times New Roman"/>
                <w:sz w:val="20"/>
              </w:rPr>
              <w:t>8</w:t>
            </w:r>
          </w:p>
        </w:tc>
        <w:tc>
          <w:tcPr>
            <w:tcW w:w="2832"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 xml:space="preserve">Razrada regulatornog okvira za aktivno sudjelovanje korisnika </w:t>
            </w:r>
            <w:r w:rsidRPr="00654E3B">
              <w:rPr>
                <w:rFonts w:cs="Times New Roman"/>
                <w:sz w:val="20"/>
              </w:rPr>
              <w:lastRenderedPageBreak/>
              <w:t>mreže na tržištu električne energije</w:t>
            </w:r>
          </w:p>
        </w:tc>
        <w:tc>
          <w:tcPr>
            <w:tcW w:w="9217" w:type="dxa"/>
            <w:shd w:val="clear" w:color="auto" w:fill="auto"/>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lastRenderedPageBreak/>
              <w:t xml:space="preserve">Kako bi se omogućila aktivna uloga korisnika mreže na tržištu električne energije potrebno na odgovarajući način izmijeniti i dopuniti postojeći regulatorni okvir, poglavito kroz uvođenje agregatora kao tržišnog sudionika te kroz omogućavanje pokretanja pilot projekta pružanja pomoćnih usluga. Pilot projektima detaljno će se analizirati </w:t>
            </w:r>
            <w:r w:rsidRPr="00654E3B">
              <w:rPr>
                <w:rFonts w:eastAsia="Times New Roman" w:cs="Times New Roman"/>
                <w:sz w:val="20"/>
                <w:lang w:eastAsia="hr-HR"/>
              </w:rPr>
              <w:lastRenderedPageBreak/>
              <w:t>usluge koje korisnici mogu pružati operatoru distribucijskog odnosno prijenosnog elektroenergetskog sustava. Analizirat će se moguće vrste, opseg, način i razdoblje pružanja pomoćnih usluga. Identificirat će se prepreke korištenju pomoćnih usluga i predložiti načini njihova uklanjanja. Prethodno će se provesti analiza potencijala za pružanje pomoćnih usluga i usluga fleksibilnosti odzivom potrošnje kod korisnika mreže na temelju koje će se definirati način i model pružanja pomoćnih usluga i odziva potrošnje od korisnika mreže.</w:t>
            </w:r>
          </w:p>
        </w:tc>
      </w:tr>
      <w:tr w:rsidR="007D4A93" w:rsidRPr="00654E3B">
        <w:trPr>
          <w:trHeight w:val="340"/>
        </w:trPr>
        <w:tc>
          <w:tcPr>
            <w:tcW w:w="1129"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MEN-</w:t>
            </w:r>
            <w:r w:rsidR="002D2E0A" w:rsidRPr="00654E3B">
              <w:rPr>
                <w:rFonts w:cs="Times New Roman"/>
                <w:sz w:val="20"/>
              </w:rPr>
              <w:t>29</w:t>
            </w:r>
          </w:p>
        </w:tc>
        <w:tc>
          <w:tcPr>
            <w:tcW w:w="2832"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Uvođenje naprednih sustava mjerenja potrošnje i upravljanja mjernim podacima</w:t>
            </w:r>
          </w:p>
        </w:tc>
        <w:tc>
          <w:tcPr>
            <w:tcW w:w="9217" w:type="dxa"/>
            <w:shd w:val="clear" w:color="auto" w:fill="auto"/>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Kako bi se omogućio daljnji razvoj energetskih tržišta i aktivna uloga kupaca energije na energetskim tržištima, planira se uvođenje naprednih mjernih uređaja i sustava na razini potrošnje.</w:t>
            </w:r>
          </w:p>
        </w:tc>
      </w:tr>
      <w:tr w:rsidR="007D4A93" w:rsidRPr="00654E3B">
        <w:trPr>
          <w:trHeight w:val="340"/>
        </w:trPr>
        <w:tc>
          <w:tcPr>
            <w:tcW w:w="1129"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MEN-3</w:t>
            </w:r>
            <w:r w:rsidR="002D2E0A" w:rsidRPr="00654E3B">
              <w:rPr>
                <w:rFonts w:cs="Times New Roman"/>
                <w:sz w:val="20"/>
              </w:rPr>
              <w:t>0</w:t>
            </w:r>
          </w:p>
        </w:tc>
        <w:tc>
          <w:tcPr>
            <w:tcW w:w="2832" w:type="dxa"/>
            <w:shd w:val="clear" w:color="auto" w:fill="auto"/>
            <w:vAlign w:val="center"/>
          </w:tcPr>
          <w:p w:rsidR="007D4A93" w:rsidRPr="00654E3B" w:rsidRDefault="00EF0BEB">
            <w:pPr>
              <w:spacing w:line="240" w:lineRule="auto"/>
              <w:jc w:val="left"/>
              <w:rPr>
                <w:rFonts w:cs="Times New Roman"/>
                <w:sz w:val="20"/>
              </w:rPr>
            </w:pPr>
            <w:r w:rsidRPr="00654E3B">
              <w:rPr>
                <w:rFonts w:cs="Times New Roman"/>
                <w:sz w:val="20"/>
              </w:rPr>
              <w:t>Usvajanje i provedba Programa suzbijanja energetskog siromaštva</w:t>
            </w:r>
          </w:p>
        </w:tc>
        <w:tc>
          <w:tcPr>
            <w:tcW w:w="9217" w:type="dxa"/>
            <w:shd w:val="clear" w:color="auto" w:fill="auto"/>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Ublažavanje energetskog siromaštva i stupnja ugroženosti njime; uspostava sustava praćenja energetskog siromaštva.</w:t>
            </w:r>
          </w:p>
          <w:p w:rsidR="00B9204A" w:rsidRPr="00654E3B" w:rsidRDefault="00B9204A">
            <w:pPr>
              <w:spacing w:line="240" w:lineRule="auto"/>
              <w:rPr>
                <w:rFonts w:eastAsia="Times New Roman" w:cs="Times New Roman"/>
                <w:sz w:val="20"/>
                <w:lang w:eastAsia="hr-HR"/>
              </w:rPr>
            </w:pPr>
            <w:r w:rsidRPr="00654E3B">
              <w:rPr>
                <w:rFonts w:eastAsia="Times New Roman" w:cs="Times New Roman"/>
                <w:sz w:val="20"/>
                <w:lang w:eastAsia="hr-HR"/>
              </w:rPr>
              <w:t>Oznaka mjere u Dugoročnoj strategiji obnove: UET-5</w:t>
            </w:r>
          </w:p>
        </w:tc>
      </w:tr>
      <w:tr w:rsidR="00697D3E" w:rsidRPr="00654E3B">
        <w:trPr>
          <w:trHeight w:val="340"/>
        </w:trPr>
        <w:tc>
          <w:tcPr>
            <w:tcW w:w="1129" w:type="dxa"/>
            <w:shd w:val="clear" w:color="auto" w:fill="auto"/>
            <w:vAlign w:val="center"/>
          </w:tcPr>
          <w:p w:rsidR="00697D3E" w:rsidRPr="00654E3B" w:rsidRDefault="0081442D">
            <w:pPr>
              <w:spacing w:line="240" w:lineRule="auto"/>
              <w:jc w:val="left"/>
              <w:rPr>
                <w:rFonts w:cs="Times New Roman"/>
                <w:sz w:val="20"/>
              </w:rPr>
            </w:pPr>
            <w:r w:rsidRPr="00654E3B">
              <w:rPr>
                <w:rFonts w:cs="Times New Roman"/>
                <w:sz w:val="20"/>
              </w:rPr>
              <w:t>MEN-3</w:t>
            </w:r>
            <w:r w:rsidR="002D2E0A" w:rsidRPr="00654E3B">
              <w:rPr>
                <w:rFonts w:cs="Times New Roman"/>
                <w:sz w:val="20"/>
              </w:rPr>
              <w:t>1</w:t>
            </w:r>
          </w:p>
        </w:tc>
        <w:tc>
          <w:tcPr>
            <w:tcW w:w="2832" w:type="dxa"/>
            <w:shd w:val="clear" w:color="auto" w:fill="auto"/>
            <w:vAlign w:val="center"/>
          </w:tcPr>
          <w:p w:rsidR="00697D3E" w:rsidRPr="00654E3B" w:rsidRDefault="00697D3E">
            <w:pPr>
              <w:spacing w:line="240" w:lineRule="auto"/>
              <w:jc w:val="left"/>
              <w:rPr>
                <w:rFonts w:cs="Times New Roman"/>
                <w:sz w:val="20"/>
              </w:rPr>
            </w:pPr>
            <w:r w:rsidRPr="00654E3B">
              <w:rPr>
                <w:rFonts w:cs="Times New Roman"/>
                <w:sz w:val="20"/>
              </w:rPr>
              <w:t xml:space="preserve">Povećanje energetske učinkovitosti i korištenja OIE u proizvodnim industrijama </w:t>
            </w:r>
          </w:p>
        </w:tc>
        <w:tc>
          <w:tcPr>
            <w:tcW w:w="9217" w:type="dxa"/>
            <w:shd w:val="clear" w:color="auto" w:fill="auto"/>
            <w:vAlign w:val="center"/>
          </w:tcPr>
          <w:p w:rsidR="00697D3E" w:rsidRPr="00654E3B" w:rsidRDefault="0081442D">
            <w:pPr>
              <w:spacing w:line="240" w:lineRule="auto"/>
              <w:rPr>
                <w:rFonts w:eastAsia="Times New Roman" w:cs="Times New Roman"/>
                <w:sz w:val="20"/>
                <w:lang w:eastAsia="hr-HR"/>
              </w:rPr>
            </w:pPr>
            <w:r w:rsidRPr="00654E3B">
              <w:rPr>
                <w:rFonts w:eastAsia="Times New Roman" w:cs="Times New Roman"/>
                <w:sz w:val="20"/>
                <w:lang w:eastAsia="hr-HR"/>
              </w:rPr>
              <w:t>U proteklom razdoblju iz ESI fondova, a temeljem OPKK bilo je osigurano 60 milijuna €. Apsorpcija sredstava je bila izvrsna, što dokazuje da industrijska postrojenja u RH raspolažu značajnim potencijalom za poboljšanje energetske učinkovitosti, smanjenje potrošnje energije kao i za smanjenje udjela konvencionalnih (fosilnih) goriva u ukupnoj potrošnji energije uvođenjem obnovljivih izvora energije. Cilj ove mjere je osigurati nastavak sufinanciranje provedbe takvih mjera u proizvodnim industrijama i to kroz bespovratna sredstva i kroz financijske instrumente.</w:t>
            </w:r>
          </w:p>
        </w:tc>
      </w:tr>
      <w:tr w:rsidR="008F7C47" w:rsidRPr="00654E3B">
        <w:trPr>
          <w:trHeight w:val="340"/>
        </w:trPr>
        <w:tc>
          <w:tcPr>
            <w:tcW w:w="1129" w:type="dxa"/>
            <w:shd w:val="clear" w:color="auto" w:fill="auto"/>
            <w:vAlign w:val="center"/>
          </w:tcPr>
          <w:p w:rsidR="008F7C47" w:rsidRPr="00654E3B" w:rsidRDefault="0081442D" w:rsidP="002D2E0A">
            <w:pPr>
              <w:spacing w:line="240" w:lineRule="auto"/>
              <w:jc w:val="left"/>
              <w:rPr>
                <w:rFonts w:cs="Times New Roman"/>
                <w:sz w:val="20"/>
              </w:rPr>
            </w:pPr>
            <w:r w:rsidRPr="00654E3B">
              <w:rPr>
                <w:rFonts w:cs="Times New Roman"/>
                <w:sz w:val="20"/>
              </w:rPr>
              <w:t>MEN-3</w:t>
            </w:r>
            <w:r w:rsidR="002D2E0A" w:rsidRPr="00654E3B">
              <w:rPr>
                <w:rFonts w:cs="Times New Roman"/>
                <w:sz w:val="20"/>
              </w:rPr>
              <w:t>2</w:t>
            </w:r>
          </w:p>
        </w:tc>
        <w:tc>
          <w:tcPr>
            <w:tcW w:w="2832" w:type="dxa"/>
            <w:shd w:val="clear" w:color="auto" w:fill="auto"/>
            <w:vAlign w:val="center"/>
          </w:tcPr>
          <w:p w:rsidR="008F7C47" w:rsidRPr="00654E3B" w:rsidRDefault="008F7C47">
            <w:pPr>
              <w:spacing w:line="240" w:lineRule="auto"/>
              <w:jc w:val="left"/>
              <w:rPr>
                <w:rFonts w:cs="Times New Roman"/>
                <w:sz w:val="20"/>
              </w:rPr>
            </w:pPr>
            <w:r w:rsidRPr="00654E3B">
              <w:rPr>
                <w:rFonts w:cs="Times New Roman"/>
                <w:sz w:val="20"/>
              </w:rPr>
              <w:t xml:space="preserve">Usvajanje i provedba Programa suzbijanja energetskog siromaštva koji uključuje korištenje obnovljivih izvora energije u stambenim zgradama na potpomognutim područjima i područjima posebne državne skrbi za razdoblje 2021-2025. godine </w:t>
            </w:r>
          </w:p>
        </w:tc>
        <w:tc>
          <w:tcPr>
            <w:tcW w:w="9217" w:type="dxa"/>
            <w:shd w:val="clear" w:color="auto" w:fill="auto"/>
            <w:vAlign w:val="center"/>
          </w:tcPr>
          <w:p w:rsidR="009B3927" w:rsidRPr="00654E3B" w:rsidRDefault="009B3927" w:rsidP="009B3927">
            <w:pPr>
              <w:spacing w:line="240" w:lineRule="auto"/>
              <w:rPr>
                <w:rFonts w:eastAsia="Times New Roman" w:cs="Times New Roman"/>
                <w:sz w:val="20"/>
                <w:lang w:eastAsia="hr-HR"/>
              </w:rPr>
            </w:pPr>
            <w:r w:rsidRPr="00654E3B">
              <w:rPr>
                <w:rFonts w:eastAsia="Times New Roman" w:cs="Times New Roman"/>
                <w:sz w:val="20"/>
                <w:lang w:eastAsia="hr-HR"/>
              </w:rPr>
              <w:t>Ublažavanje energetskog siromaštva i stupnja ugroženosti njime u zgradama kojima raspolaže i upravlja Središnji državni ured za obnovu i stambeno zbrinjavanje (SDUOSZ), u kojima stanovnici nisu u mogućnosti sudjelovati u financiranju nužnih popravaka. U okviru Programa suzbijanja energetskog siromaštva koji uključuje korištenje obnovljivih izvora energije u stambenim zgradama na potpomognutim područjima i područjima posebne državne skrbi za razdoblje 2021. – 2025. godine, za potrebe Programa identificirano je 413 stambenih zgrada, a obuhvaćeno je 407 zgrada s radnog popisa i 12 dodatnih, ali su 22 obuhvaćene u drugim cjelinama, što daje ukupni broj od 397 zgrada. Određeni su prioriteti obnove prema uočenim nedostacima zgrada, te je procijenjena moguća ušteda energije za grijanje i primarne energije koja će se ostvariti obnovom zgrada. Ukupno je obuhvaćeno 397 zgrada, ukupne površine 297.575 m², za čiju obnovu je potrebno uložiti 297 do 355 milijuna kuna. Ukupna moguća ušteda primarne energije na svim zgrada iznosi 27 GWh godišnje.</w:t>
            </w:r>
          </w:p>
          <w:p w:rsidR="008F7C47" w:rsidRPr="00654E3B" w:rsidRDefault="008F7C47" w:rsidP="008F7C47">
            <w:pPr>
              <w:spacing w:line="240" w:lineRule="auto"/>
              <w:rPr>
                <w:rFonts w:eastAsia="Times New Roman" w:cs="Times New Roman"/>
                <w:sz w:val="20"/>
                <w:lang w:eastAsia="hr-HR"/>
              </w:rPr>
            </w:pPr>
          </w:p>
        </w:tc>
      </w:tr>
      <w:tr w:rsidR="007D4A93" w:rsidRPr="00654E3B">
        <w:trPr>
          <w:trHeight w:val="340"/>
        </w:trPr>
        <w:tc>
          <w:tcPr>
            <w:tcW w:w="13178" w:type="dxa"/>
            <w:gridSpan w:val="3"/>
            <w:vAlign w:val="center"/>
          </w:tcPr>
          <w:p w:rsidR="007D4A93" w:rsidRPr="00654E3B" w:rsidRDefault="00EF0BEB">
            <w:pPr>
              <w:spacing w:line="240" w:lineRule="auto"/>
              <w:rPr>
                <w:rFonts w:eastAsia="Times New Roman" w:cs="Times New Roman"/>
                <w:b/>
                <w:sz w:val="20"/>
                <w:lang w:eastAsia="hr-HR"/>
              </w:rPr>
            </w:pPr>
            <w:r w:rsidRPr="00654E3B">
              <w:rPr>
                <w:rFonts w:cs="Times New Roman"/>
                <w:b/>
                <w:sz w:val="20"/>
              </w:rPr>
              <w:t>PROMET</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Informiranje potrošača o ekonomičnosti potrošnje goriva </w:t>
            </w:r>
            <w:r w:rsidRPr="00654E3B">
              <w:rPr>
                <w:rFonts w:cs="Times New Roman"/>
                <w:sz w:val="20"/>
              </w:rPr>
              <w:lastRenderedPageBreak/>
              <w:t>i emisiji CO</w:t>
            </w:r>
            <w:r w:rsidRPr="00654E3B">
              <w:rPr>
                <w:rFonts w:cs="Times New Roman"/>
                <w:sz w:val="20"/>
                <w:vertAlign w:val="subscript"/>
              </w:rPr>
              <w:t>2</w:t>
            </w:r>
            <w:r w:rsidRPr="00654E3B">
              <w:rPr>
                <w:rFonts w:cs="Times New Roman"/>
                <w:sz w:val="20"/>
              </w:rPr>
              <w:t xml:space="preserve"> novih osobnih automobila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lastRenderedPageBreak/>
              <w:t>Sukladno Pravilniku o dostupnosti podataka o ekonomičnosti potrošnje goriva i emisiji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iz novih putničkih vozila (</w:t>
            </w:r>
            <w:r w:rsidR="001C0429"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oj</w:t>
            </w:r>
            <w:r w:rsidRPr="00654E3B">
              <w:rPr>
                <w:rFonts w:eastAsia="Times New Roman" w:cs="Times New Roman"/>
                <w:sz w:val="20"/>
                <w:lang w:eastAsia="hr-HR"/>
              </w:rPr>
              <w:t xml:space="preserve"> 7/15) svaki dobavljač novih osobnih vozila namijenjenih prodaji dužan je omogućiti </w:t>
            </w:r>
            <w:r w:rsidRPr="00654E3B">
              <w:rPr>
                <w:rFonts w:eastAsia="Times New Roman" w:cs="Times New Roman"/>
                <w:sz w:val="20"/>
                <w:lang w:eastAsia="hr-HR"/>
              </w:rPr>
              <w:lastRenderedPageBreak/>
              <w:t>potrošačima dostupne informacije o razini potrošnje goriva i specifičnoj emisiji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putničkih vozila. Ministarstvo unutarnjih poslova, kao tijelo državne uprave nadležno za sigurnost cestovnog prometa, na osnovi Pravilnika jedanput godišnje, najkasnije do 31. ožujka tekuće godine izrađuje Vodič o ekonomičnosti potrošnje goriva i emisiji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novih osobnih automobila koji su dostupni za kupovinu na tržištu u Republici Hrvatskoj. Vodič sadrži potrebne podatke za svaki model novih osobnih automobila dostupnih na domaćem tržištu.</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MTR-2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Posebna naknada za okoliš za vozila na motorni pogon</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Postojeći sustav plaćanja posebne naknade za okoliš na motornim vozilima uređen je Zakonom o Fondu za zaštitu okoliša i energetsku učinkovitost (</w:t>
            </w:r>
            <w:r w:rsidR="001C0429" w:rsidRPr="00654E3B">
              <w:rPr>
                <w:rFonts w:eastAsia="Times New Roman" w:cs="Times New Roman"/>
                <w:sz w:val="20"/>
                <w:lang w:eastAsia="hr-HR"/>
              </w:rPr>
              <w:t>Narodne novine</w:t>
            </w:r>
            <w:r w:rsidRPr="00654E3B">
              <w:rPr>
                <w:rFonts w:eastAsia="Times New Roman" w:cs="Times New Roman"/>
                <w:sz w:val="20"/>
                <w:lang w:eastAsia="hr-HR"/>
              </w:rPr>
              <w:t>, br. 107/03, 144/12), Uredbom o jediničnim naknadama, korektivnim koeficijentima i pobližim kriterijima i mjerilima za utvrđivanje posebne naknade za okoliš na vozila na motorni pogon (</w:t>
            </w:r>
            <w:r w:rsidR="0097190B" w:rsidRPr="00654E3B">
              <w:rPr>
                <w:rFonts w:eastAsia="Times New Roman" w:cs="Times New Roman"/>
                <w:sz w:val="20"/>
                <w:lang w:eastAsia="hr-HR"/>
              </w:rPr>
              <w:t>Narodne novine</w:t>
            </w:r>
            <w:r w:rsidRPr="00654E3B">
              <w:rPr>
                <w:rFonts w:eastAsia="Times New Roman" w:cs="Times New Roman"/>
                <w:sz w:val="20"/>
                <w:lang w:eastAsia="hr-HR"/>
              </w:rPr>
              <w:t>, br. 114/14, 147/14</w:t>
            </w:r>
            <w:r w:rsidR="009F6712" w:rsidRPr="00654E3B">
              <w:rPr>
                <w:rFonts w:eastAsia="Times New Roman" w:cs="Times New Roman"/>
                <w:sz w:val="20"/>
                <w:lang w:eastAsia="hr-HR"/>
              </w:rPr>
              <w:t>, 2/21</w:t>
            </w:r>
            <w:r w:rsidRPr="00654E3B">
              <w:rPr>
                <w:rFonts w:eastAsia="Times New Roman" w:cs="Times New Roman"/>
                <w:sz w:val="20"/>
                <w:lang w:eastAsia="hr-HR"/>
              </w:rPr>
              <w:t>). Posebna naknada naplaćuje se uzimajući u obzir vrstu motora i goriva, radni volumen motora, vrstu vozila, emisiju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i starost vozila.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Posebni porez za motorna vozila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Bazirajući se na načelu „onečišćivač plaća“, model obračuna temelji se na emisiji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u zrak iz motornih vozila. Posebni porez utvrđuje se na temelju prodajne, odnosno tržišne cijene motornog vozila, emisije CO</w:t>
            </w:r>
            <w:r w:rsidRPr="00654E3B">
              <w:rPr>
                <w:rFonts w:eastAsia="Times New Roman" w:cs="Times New Roman"/>
                <w:sz w:val="20"/>
                <w:vertAlign w:val="subscript"/>
                <w:lang w:eastAsia="hr-HR"/>
              </w:rPr>
              <w:t>2</w:t>
            </w:r>
            <w:r w:rsidRPr="00654E3B">
              <w:rPr>
                <w:rFonts w:eastAsia="Times New Roman" w:cs="Times New Roman"/>
                <w:sz w:val="20"/>
                <w:lang w:eastAsia="hr-HR"/>
              </w:rPr>
              <w:t xml:space="preserve"> izražene u gramima po kilometru, obujmu motora u kubičnim centimetrima i razini emisije stakleničkih plinova. Ovim posebnim porezom potiče se kupovina učinkovitih vozila i vozila s manjim emisijama stakleničkih plinova. Donošenjem Zakona o posebnom porezu na motorna vozila (</w:t>
            </w:r>
            <w:r w:rsidR="0097190B" w:rsidRPr="00654E3B">
              <w:rPr>
                <w:rFonts w:eastAsia="Times New Roman" w:cs="Times New Roman"/>
                <w:sz w:val="20"/>
                <w:lang w:eastAsia="hr-HR"/>
              </w:rPr>
              <w:t>Narodne novine</w:t>
            </w:r>
            <w:r w:rsidRPr="00654E3B">
              <w:rPr>
                <w:rFonts w:eastAsia="Times New Roman" w:cs="Times New Roman"/>
                <w:sz w:val="20"/>
                <w:lang w:eastAsia="hr-HR"/>
              </w:rPr>
              <w:t>, br. 15/13, 108/13, 115/16, 127/17</w:t>
            </w:r>
            <w:r w:rsidR="009F6712" w:rsidRPr="00654E3B">
              <w:rPr>
                <w:rFonts w:eastAsia="Times New Roman" w:cs="Times New Roman"/>
                <w:sz w:val="20"/>
                <w:lang w:eastAsia="hr-HR"/>
              </w:rPr>
              <w:t>, 121/19</w:t>
            </w:r>
            <w:r w:rsidRPr="00654E3B">
              <w:rPr>
                <w:rFonts w:eastAsia="Times New Roman" w:cs="Times New Roman"/>
                <w:sz w:val="20"/>
                <w:lang w:eastAsia="hr-HR"/>
              </w:rPr>
              <w:t>) osigurana je primjena i provođenje mjere.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MTR-4</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Praćenje, izvještavanje i verifikacija emisija stakleničkih plinova u životnom vijeku goriva i energije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skladu sa Zakonom o </w:t>
            </w:r>
            <w:r w:rsidRPr="00654E3B">
              <w:rPr>
                <w:rFonts w:cs="Times New Roman"/>
                <w:sz w:val="20"/>
              </w:rPr>
              <w:t xml:space="preserve">klimatskim promjenama i zaštiti ozonskog sloja </w:t>
            </w:r>
            <w:r w:rsidRPr="00654E3B">
              <w:rPr>
                <w:rFonts w:eastAsia="Times New Roman" w:cs="Times New Roman"/>
                <w:sz w:val="20"/>
                <w:lang w:eastAsia="hr-HR"/>
              </w:rPr>
              <w:t>(</w:t>
            </w:r>
            <w:r w:rsidR="001C0429" w:rsidRPr="00654E3B">
              <w:rPr>
                <w:rFonts w:eastAsia="Times New Roman" w:cs="Times New Roman"/>
                <w:sz w:val="20"/>
                <w:lang w:eastAsia="hr-HR"/>
              </w:rPr>
              <w:t>Narodne novin</w:t>
            </w:r>
            <w:r w:rsidR="00566C24" w:rsidRPr="00654E3B">
              <w:rPr>
                <w:rFonts w:eastAsia="Times New Roman" w:cs="Times New Roman"/>
                <w:sz w:val="20"/>
                <w:lang w:eastAsia="hr-HR"/>
              </w:rPr>
              <w:t>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 xml:space="preserve">127/19), dobavljač koji stavlja gorivo na domaće tržište će pratiti emisije stakleničkih plinova po jedinici energije za vrijeme trajanja goriva. Dobavljači trebaju sastaviti izvješće koje treba biti verificirano i dostavljeno Ministarstvu </w:t>
            </w:r>
            <w:r w:rsidR="006C7329" w:rsidRPr="00654E3B">
              <w:rPr>
                <w:rFonts w:eastAsia="Times New Roman" w:cs="Times New Roman"/>
                <w:sz w:val="20"/>
                <w:lang w:eastAsia="hr-HR"/>
              </w:rPr>
              <w:t xml:space="preserve">gospodarstva i održivog razvoja </w:t>
            </w:r>
            <w:r w:rsidRPr="00654E3B">
              <w:rPr>
                <w:rFonts w:eastAsia="Times New Roman" w:cs="Times New Roman"/>
                <w:sz w:val="20"/>
                <w:lang w:eastAsia="hr-HR"/>
              </w:rPr>
              <w:t xml:space="preserve"> (Zavod za zaštitu okoliša i prirodu).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MTR-5</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Zakonodavne prilagodbe za čišći promet</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Kroz izmjene i dopune zakona i podzakonskih akata osigurati razvoj infrastrukture za alternativna goriva, podizanje udjela obnovljivih izvora u neposrednoj potrošnji energije u prometu te promicanje čistih i energetski učinkovitih vozila u cestovnom prijevozu.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MTR-6</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Financijski poticaji za energetski učinkovita vozila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kontekstu sufinanciranja projekata čišćeg prometa, potrebno je definirati posebne linije sufinanciranja za specifične namjene i to za kupnju vozila s pogonom na električnu energiju, SPP, UPP i vodik. Poticajne mjere sufinanciranja nabave vozila trebaju se provoditi konzistentno i kontinuirano, a bit će prvenstveno orijentirane na alternativna goriva za koja je procjena postojećeg stanja pokazala neznatnu zastupljenost vozila u ukupnom broju vozila, te će biti vremenski ograničene do trenutka kad praćenje stanja pokaže minimalnu zastupljenost vozila. Minimalnim stupnjem pokrenutosti tržišta smatrat će se udio od 1 posto vozila na određeno alternativno gorivo u ukupnom broju vozila registriranih u državi.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MTR-7</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Razvoj infrastrukture za alternativna goriva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Cilj ove mjere je olakšati prihvaćanje alternativnih goriva od strane korisnika/potrošača jačanjem infrastrukture za distribuciju alternativnih goriva i provedbom zajedničkih tehničkih specifikacija za ovu infrastrukturu. Mjera </w:t>
            </w:r>
            <w:r w:rsidRPr="00654E3B">
              <w:rPr>
                <w:rFonts w:eastAsia="Times New Roman" w:cs="Times New Roman"/>
                <w:sz w:val="20"/>
                <w:lang w:eastAsia="hr-HR"/>
              </w:rPr>
              <w:lastRenderedPageBreak/>
              <w:t>prati Direktivu 2014/94/EU o uspostavi infrastrukture za alternativna goriva, Zakon o uspostavi infrastrukture za alternativna goriva (</w:t>
            </w:r>
            <w:r w:rsidR="0097190B"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120/16) i Nacionalni okvir politike za uspostavu infrastrukture i razvoj tržišta alternativnih goriva u prometu (</w:t>
            </w:r>
            <w:r w:rsidR="0097190B"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34/17; NOP) te potiče izgradnju punionica u skladu s navedenim dokumentima. Ovom infrastrukturnom mjerom se neće direktno utjecati na smanjenje potrošnje goriva u prometu, no svakako je razvoj infrastrukture nužan preduvjet razvoju tržišta vozila i plovila koja koriste električnu energiju, SPP i UPP te vodik u Hrvatskoj.</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Poticajne mjere sufinanciranja infrastrukture bit će prvenstveno orijentirane na alternativna goriva za koja je procjena postojećeg stanja pokazala nedovoljnu razvijenost infrastrukture te će biti vremenski ograničene do trenutka kad praćenje stanja pokaže minimalnu pokrivenost infrastrukturom. Minimalnom pokrivenosti infrastrukture smatrat će se ona koja odgovara ciljevima minimalne infrastrukture iz NOP-a.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MTR-8</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Poticanje integriranog teretnog prometa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Mjera je uređena Zakonom o kombiniranom prijevozu tereta (</w:t>
            </w:r>
            <w:r w:rsidR="0097190B"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120/16), odnosno Pravilnikom o poticajima u kombiniranom prijevozu tereta (</w:t>
            </w:r>
            <w:r w:rsidR="0097190B" w:rsidRPr="00654E3B">
              <w:rPr>
                <w:rFonts w:eastAsia="Times New Roman" w:cs="Times New Roman"/>
                <w:sz w:val="20"/>
                <w:lang w:eastAsia="hr-HR"/>
              </w:rPr>
              <w:t>Narodne novine</w:t>
            </w:r>
            <w:r w:rsidRPr="00654E3B">
              <w:rPr>
                <w:rFonts w:eastAsia="Times New Roman" w:cs="Times New Roman"/>
                <w:sz w:val="20"/>
                <w:lang w:eastAsia="hr-HR"/>
              </w:rPr>
              <w:t>, br</w:t>
            </w:r>
            <w:r w:rsidR="001C0429" w:rsidRPr="00654E3B">
              <w:rPr>
                <w:rFonts w:eastAsia="Times New Roman" w:cs="Times New Roman"/>
                <w:sz w:val="20"/>
                <w:lang w:eastAsia="hr-HR"/>
              </w:rPr>
              <w:t xml:space="preserve">oj </w:t>
            </w:r>
            <w:r w:rsidRPr="00654E3B">
              <w:rPr>
                <w:rFonts w:eastAsia="Times New Roman" w:cs="Times New Roman"/>
                <w:sz w:val="20"/>
                <w:lang w:eastAsia="hr-HR"/>
              </w:rPr>
              <w:t>5/18), kojim su propisani poticaji u kombiniranom prijevozu tereta željeznicom, unutarnjim vodama ili morem, te poticaji u kombiniranom prijevozu tereta cestovnom dionicom.</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MTR-9</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 xml:space="preserve">Poticanje razvoja održivog integriranog prometa na nacionalnoj razini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Mjera prati opće i specifične ciljeve definirane u Strategiji prometnog razvoja Republike Hrvatske (2017. – 2030.) u kontekstu energetske učinkovitosti željezničkog, cestovnog, pomorskog prometa, prometa unutarnjim plovnim putovima i gradskog, prigradskog i regionalnog prometa (modernizacija pruga, sustava signalizacije, obnova fonda lokomotiva, vagona, flota plovila, logističke integrirane platforme, integrirani javni prijevoz putnika, itd.). Željeznička i generalno multimodalna infrastruktura zaostaju u razvoju u usporedbi s infrastrukturom autocesta kad je riječ o kvaliteti i povezanosti. Planiraju se ulaganja u cilju razvoja održive, integrirane transeuropske prometne mreže koja je otporna na klimatske promjene. U pomorskom prometu i prometu unutarnjim plovnim putovima, Republika Hrvatska će uz savjetovanje s ostalim Državama Članicama, analizirati mogućnosti uvođenja odgovarajućih mehanizama kako bi se osigurala tranzicija prema niskougljičnim rješenjima, naročito u smislu aplikacije alternativnih izvora energije za plovidbu. U tom kontekstu definirat će se akcijski plan za brodarstvo koji će između ostaloga definirati i odgovarajuće emisijske standarde za nadolazeće razdoblje. Isto tako, u zračnom prometu, Republika Hrvatska će definirati plan i razraditi detaljne smjernice za postizanje značajnog smanjenja emisija stakleničkih plinova.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MTR-10</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Promicanje integriranog i inteligentnog prometa i razvoj infrastrukture za alternativna goriva na lokalnoj i područnoj razini</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Potrebno je promovirati održivi razvoj gradskih prometnih sustava i to kroz optimiranje logistike prijevoza tereta te inteligentno upravljanje javnim parkirnim površinama (ICT tehnologije), uvođenje integriranog prijevoza putnika, uvođenje car-sharing sheme u gradovima, uvođenje nisko-emisijskih zona u gradovima, uvođenje sustava javnih gradskih bicikala i izgradnje pripadajuće biciklističke infrastrukture, inteligentno upravljanje u prometu (nadogradnja, prilagodba i zamjena zastarjelih signalnih uređaja i opreme, ugradnja napredne prometne opreme i inteligentnih semafora opremljenih autonomnim sustavom napajanja iz obnovljivih izvora, izgradnja i opremanje središnjih operativnih centara za nadzor i upravljanje raskrižjima s postavljenim semaforima). Na </w:t>
            </w:r>
            <w:r w:rsidRPr="00654E3B">
              <w:rPr>
                <w:rFonts w:eastAsia="Times New Roman" w:cs="Times New Roman"/>
                <w:sz w:val="20"/>
                <w:lang w:eastAsia="hr-HR"/>
              </w:rPr>
              <w:lastRenderedPageBreak/>
              <w:t xml:space="preserve">lokalnim razinama, nužna je kontinuirana izrada i provedba Planova održive mobilnosti u gradovima, odnosno strateških planova koji se nadovezuju na postojeću praksu u planiranju, a uzimaju u obzir integracijske, participacijske i evaluacijske principe kako bi se zadovoljile potrebe stanovnika gradova za mobilnošću, sada i u budućnosti, te osigurala bolja kvaliteta života u gradovima i njihovoj okolini. Aktivnosti će pratiti odgovarajuće informativno-edukativne kampanje.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MTR-11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Obuka vozača cestovnih vozila za eko vožnju</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Cilj mjere je podizanje razine osviještenosti o prednostima energetski učinkovite vožnje. Obrazovanje o elementima eko vožnje provodi se kratkim treninzima (u trajanju od oko 60-120 minuta po kandidatu) među vozačima koji su vozačku dozvolu dobili prije stupanja na snagu Pravilnika o osposobljavanju kandidata za vozače (</w:t>
            </w:r>
            <w:r w:rsidR="0097190B" w:rsidRPr="00654E3B">
              <w:rPr>
                <w:rFonts w:eastAsia="Times New Roman" w:cs="Times New Roman"/>
                <w:sz w:val="20"/>
                <w:lang w:eastAsia="hr-HR"/>
              </w:rPr>
              <w:t>Narodne novine</w:t>
            </w:r>
            <w:r w:rsidRPr="00654E3B">
              <w:rPr>
                <w:rFonts w:eastAsia="Times New Roman" w:cs="Times New Roman"/>
                <w:sz w:val="20"/>
                <w:lang w:eastAsia="hr-HR"/>
              </w:rPr>
              <w:t xml:space="preserve">, br. 13/09, 132/17), kojim je za sve autoškole i instruktore postavljena obveza provođenja izobrazbe o elementima eko-vožnje tijekom standardne izobrazbe vozača kandidata. Posebni elementi nacionalne kampanje trebaju biti posvećeni edukaciji o eko vožnji za vozače osobnih automobila, autobusa, gospodarskih i teških teretnih vozila.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MTR-12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Poticanje brodskog prometa na alternativna goriva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U skladu s Nacionalnim planom razvoja obalnog linijskog pomorskog prometa i obzirom da je Republika Hrvatska pomorska zemlja s razvijenim dužobalnim linijskim prometom, te pored toga ima plovne riječne puteve i jezera ovom mjerom bi se sufinancirali projekti postupnog prijelaza postojeće zastarjele brodske flote na alternativna i/ili hibridna rješenja i novogradnju. Brodovi koji koriste alternativna goriva u pravilu su skuplji od brodova koji koriste konvencionalna goriva pa ne postoji izraženi interes brodara ulagati u takve brodove. Stoga je u početnom razdoblju potrebno financijski podržati prenamjenu/izgradnju takvih brodova u mjeri u kojoj se izjednačava nabavna cijena odnosno stavlja takvog brodara u isti položaj kao i brodara koji koristi brodove s konvencionalnim gorivom. Ova se mjera nadovezuje na mjeru vezanu uz razvoj infrastrukture za alternativna goriva u smislu  trajnih korisnika/potrošača na toj infrastrukturi, a istovremeno značajno utječe na potencijalno smanjenje onečišćenja mora, rijeka i jezera.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MTR-13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Plan razvoja tržišta naprednih biogoriva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Povećanje udjela OIE u prometu do 2030. godine razvoj tržišta naprednih goriva i postizanje planiranog udjela naprednih goriva u neposrednoj potrošnji energije u prometu putem kriterija najmanjeg troška i najvećeg multiplikatora. Provedba mjere osniva se na izmjenama i dopunama relevantnih zakona i podzakonskih akata na temelju Direktive o promicanju uporabe energije iz obnovljivih izvora, a posebice uspostavi uvjeta za praćenje održivosti biogoriva i ušteda stakleničkih plinova.</w:t>
            </w:r>
          </w:p>
        </w:tc>
      </w:tr>
      <w:tr w:rsidR="003810DE" w:rsidRPr="00654E3B">
        <w:trPr>
          <w:trHeight w:val="340"/>
        </w:trPr>
        <w:tc>
          <w:tcPr>
            <w:tcW w:w="1129" w:type="dxa"/>
            <w:vAlign w:val="center"/>
          </w:tcPr>
          <w:p w:rsidR="003810DE" w:rsidRPr="00654E3B" w:rsidRDefault="003810DE">
            <w:pPr>
              <w:spacing w:line="240" w:lineRule="auto"/>
              <w:jc w:val="left"/>
              <w:rPr>
                <w:rFonts w:cs="Times New Roman"/>
                <w:sz w:val="20"/>
              </w:rPr>
            </w:pPr>
            <w:r w:rsidRPr="00654E3B">
              <w:rPr>
                <w:rFonts w:cs="Times New Roman"/>
                <w:sz w:val="20"/>
              </w:rPr>
              <w:t>MTR-14</w:t>
            </w:r>
          </w:p>
        </w:tc>
        <w:tc>
          <w:tcPr>
            <w:tcW w:w="2832" w:type="dxa"/>
            <w:vAlign w:val="center"/>
          </w:tcPr>
          <w:p w:rsidR="003810DE" w:rsidRPr="00654E3B" w:rsidRDefault="003810DE" w:rsidP="00697D3E">
            <w:pPr>
              <w:spacing w:line="240" w:lineRule="auto"/>
              <w:jc w:val="left"/>
              <w:rPr>
                <w:rFonts w:cs="Times New Roman"/>
                <w:sz w:val="20"/>
              </w:rPr>
            </w:pPr>
            <w:r w:rsidRPr="00654E3B">
              <w:rPr>
                <w:rFonts w:cs="Times New Roman"/>
                <w:sz w:val="20"/>
              </w:rPr>
              <w:t xml:space="preserve">Dekarbonizacija prometa kroz proizvodnju naprednih biogoriva iz ostataka poljoprivredne proizvodnje i energetskih usjeva uz </w:t>
            </w:r>
            <w:r w:rsidRPr="00654E3B">
              <w:rPr>
                <w:rFonts w:cs="Times New Roman"/>
                <w:sz w:val="20"/>
              </w:rPr>
              <w:lastRenderedPageBreak/>
              <w:t>integrirano hvatanje, korištenje i skladištenje ugljika</w:t>
            </w:r>
          </w:p>
        </w:tc>
        <w:tc>
          <w:tcPr>
            <w:tcW w:w="9217" w:type="dxa"/>
            <w:vAlign w:val="center"/>
          </w:tcPr>
          <w:p w:rsidR="0081442D" w:rsidRPr="00654E3B" w:rsidRDefault="0081442D" w:rsidP="0081442D">
            <w:pPr>
              <w:spacing w:line="240" w:lineRule="auto"/>
              <w:rPr>
                <w:rFonts w:cs="Times New Roman"/>
                <w:sz w:val="20"/>
              </w:rPr>
            </w:pPr>
            <w:r w:rsidRPr="00654E3B">
              <w:rPr>
                <w:rFonts w:cs="Times New Roman"/>
                <w:sz w:val="20"/>
              </w:rPr>
              <w:lastRenderedPageBreak/>
              <w:t xml:space="preserve">Stvaranje dugoročno održivog lanca opskrbe biomasom i proizvodnja bioetanola s negativnim neto emisijama stakleničkih plinova </w:t>
            </w:r>
          </w:p>
          <w:p w:rsidR="003810DE" w:rsidRPr="00654E3B" w:rsidRDefault="0081442D">
            <w:pPr>
              <w:spacing w:line="240" w:lineRule="auto"/>
              <w:rPr>
                <w:rFonts w:eastAsia="Times New Roman" w:cs="Times New Roman"/>
                <w:sz w:val="20"/>
                <w:lang w:eastAsia="hr-HR"/>
              </w:rPr>
            </w:pPr>
            <w:r w:rsidRPr="00654E3B">
              <w:rPr>
                <w:rFonts w:cs="Times New Roman"/>
                <w:sz w:val="20"/>
              </w:rPr>
              <w:t xml:space="preserve">Izgradit će se industrijski kompleks za proizvodnju naprednog bioetanola na bazi Axensove (Francuska) patentirane inovativne FUTUROL™ tehnologije s integracijom BIO-CCUS-a. Postrojenje će imati kapacitet od 55.000 tona godišnje naprednog bioetanola koji će se distribuirati na tržištu komercijalnim kanalima INA-e i MOL Grupe. Oko 52.000 t/g biogenog ugljičnog dioksida hvatat će se i skladištiti na domaćim naftnim poljima </w:t>
            </w:r>
            <w:r w:rsidRPr="00654E3B">
              <w:rPr>
                <w:rFonts w:cs="Times New Roman"/>
                <w:sz w:val="20"/>
              </w:rPr>
              <w:lastRenderedPageBreak/>
              <w:t>korištenjem BIO-CCUS tehnologije. Za proizvodnju naprednog bioetanola koristit će se kombinacija poljoprivrednih ostataka, uglavnom slame žitarica i kukuruza, i energetska biljka Miscanthus x giganteus, u skladu s dijelom A Aneksa IX Direktive 2018/2001 o promicanju uporabe energije iz obnovljivih izvora, koji navodi vrste sirovina prihvatljive za proizvodnju naprednih biogoriva. Industrijski kompleks sastojat će se od postrojenja za proizvodnju naprednog bioetanola, za proizvodnju bioplina te visokoučinkovitog kogeneracijskog postrojenja.</w:t>
            </w:r>
          </w:p>
        </w:tc>
      </w:tr>
      <w:tr w:rsidR="007D4A93" w:rsidRPr="00654E3B">
        <w:trPr>
          <w:trHeight w:val="340"/>
        </w:trPr>
        <w:tc>
          <w:tcPr>
            <w:tcW w:w="13178" w:type="dxa"/>
            <w:gridSpan w:val="3"/>
            <w:vAlign w:val="center"/>
          </w:tcPr>
          <w:p w:rsidR="007D4A93" w:rsidRPr="00654E3B" w:rsidRDefault="00EF0BEB">
            <w:pPr>
              <w:spacing w:line="240" w:lineRule="auto"/>
              <w:rPr>
                <w:rFonts w:eastAsia="Times New Roman" w:cs="Times New Roman"/>
                <w:b/>
                <w:sz w:val="20"/>
                <w:lang w:eastAsia="hr-HR"/>
              </w:rPr>
            </w:pPr>
            <w:r w:rsidRPr="00654E3B">
              <w:rPr>
                <w:rFonts w:eastAsia="Times New Roman" w:cs="Times New Roman"/>
                <w:b/>
                <w:sz w:val="20"/>
                <w:lang w:eastAsia="hr-HR"/>
              </w:rPr>
              <w:lastRenderedPageBreak/>
              <w:t>INDUSTRIJSKI PROCESI I UPORABA PROIZVODA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MIP-1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Smanjenje udjela klinkera u proizvodnji cementa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Povećanje udjela mineralnih dodataka u cementu ovisno o sastavu sirovine, raspoloživosti dodataka odgovarajućeg sastava na tržištu te o zahtjevima tržišta za pojedinim vrstama cementa.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MIP-2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Ograničavanje emisija fluoriranih stakleničkih plinova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Provedba Uredbe (EU) br. 517/2014 u Republici Hrvatskoj regulirana je Zakonom o provedbi Uredbe (EU) br. 517/2014 Europskog parlamenta i Vijeća od 16. travnja 2014. o fluoriranim stakleničkim plinovima i stavljanju izvan snage Uredbe (EZ) br. 842/2006 (</w:t>
            </w:r>
            <w:r w:rsidR="0097190B" w:rsidRPr="00654E3B">
              <w:rPr>
                <w:rFonts w:eastAsia="Times New Roman" w:cs="Times New Roman"/>
                <w:sz w:val="20"/>
                <w:lang w:eastAsia="hr-HR"/>
              </w:rPr>
              <w:t>Narodne novine</w:t>
            </w:r>
            <w:r w:rsidRPr="00654E3B">
              <w:rPr>
                <w:rFonts w:eastAsia="Times New Roman" w:cs="Times New Roman"/>
                <w:sz w:val="20"/>
                <w:lang w:eastAsia="hr-HR"/>
              </w:rPr>
              <w:t>, br. 61/17, 118/18), koji je na snazi od 01.01.2019. godine.</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Mjerom su definirane aktivnosti i postupci za sprječavanje emisija fluoriranih stakleničkih plinova, provođenje provjere propuštanja opreme, korištenje opreme sa sustavima za otkrivanje propuštanja, vođenje evidencije o opremi na kojoj je potrebno obavljati provjere propuštanja, prikupljanje fluoriranih stakleničkih plinova kako bi se osiguralo njihovo obnavljanje, oporaba ili uništavanje, razvoj sustava odgovornosti proizvođača za prikupljanje fluoriranih stakleničkih plinova i njihovo obnavljanje, oporabu ili uništavanje te primjena programa za osposobljavanje i certifikaciju.</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MIP-3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Postupno smanjenje količine fluorougljikovodika koja se može stavljati na tržište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Mjera se odnosi na postupno ograničavanje količine fluorougljikovodika dostupnih na tržištu EU do 2030. godine na 21</w:t>
            </w:r>
            <w:r w:rsidR="00060992" w:rsidRPr="00654E3B">
              <w:rPr>
                <w:rFonts w:eastAsia="Times New Roman" w:cs="Times New Roman"/>
                <w:sz w:val="20"/>
                <w:lang w:eastAsia="hr-HR"/>
              </w:rPr>
              <w:t xml:space="preserve"> %</w:t>
            </w:r>
            <w:r w:rsidRPr="00654E3B">
              <w:rPr>
                <w:rFonts w:eastAsia="Times New Roman" w:cs="Times New Roman"/>
                <w:sz w:val="20"/>
                <w:lang w:eastAsia="hr-HR"/>
              </w:rPr>
              <w:t xml:space="preserve"> od ukupne količine fluorougljikovodika koji su stavljeni na tržište tijekom referentnog razdoblja od 2009. do 2012. godine., kako je utvrđeno Uredbom (EU) br. 517/2014.</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Uredbom (EU) br. 517/2014 uvodi se sustav kvota za stavljanje fluorougljikovodika na tržište. Izračun referentnih vrijednosti i raspodjelu kvota potrebno je temeljiti na prijavljenim količinama fluorougljikovodika koji su stavljeni na tržište tijekom referentnog razdoblja od 2009. do 2012. godine. Kvote za stavljanje fluorougljikovodika na tržište dodjeljuju se za svakog proizvođača i uvoznika za svaku godinu, s početkom od 2015. godine, na temelju referentnih vrijednosti, primjenjujući definirane postotke za izračun maksimalne količine fluorougljikovodika za stavljanje na tržište te mehanizam dodjele.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MIP-4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Ograničenja i zabrana stavljanja na tržište određenih proizvoda i opreme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Mjera se odnosi na ograničenja i zabranu stavljanja na tržište određenih proizvoda i opreme koji sadrže fluorirane stakleničke plinove, kako je utvrđeno Uredbom (EU) br. 517/2014.</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lastRenderedPageBreak/>
              <w:t>Fluorirani staklenički plinovi s visokim stakleničkim potencijalom ograničeni su za upotrebu u novoj opremi za hlađenje i klimatizaciju, sustavima za gašenje požara, dodacima za potiskivanje pjena i aerosolima.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MIP-5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Smanjenje emisija fluoriranih stakleničkih plinova iz mobilnih sustava</w:t>
            </w:r>
            <w:r w:rsidRPr="00654E3B">
              <w:rPr>
                <w:rFonts w:cs="Times New Roman"/>
                <w:sz w:val="20"/>
              </w:rPr>
              <w:t xml:space="preserve"> </w:t>
            </w:r>
            <w:r w:rsidRPr="00654E3B">
              <w:rPr>
                <w:rFonts w:eastAsia="Times New Roman" w:cs="Times New Roman"/>
                <w:sz w:val="20"/>
                <w:lang w:eastAsia="hr-HR"/>
              </w:rPr>
              <w:t>za klimatiziranje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Direktiva 2006/40/EZ Europskog parlamenta i Vijeća od 17. svibnja 2006. o emisijama iz sustava za klimatizaciju u motornim vozilima i o izmjeni Direktive Vijeća 70/156/EEZ provedena je u tri faze. Posljednja faza stupila je na snagu 01.01.2017. godine ograničenjem mogućnosti naknadne ugradnje klimatizacijske opreme oblikovane da sadrži fluorirane stakleničke plinove s potencijalom globalnog zagrijavanja iznad 150 u motorna vozila i zabranom punjenja klimatizacijske opreme tim plinovima.</w:t>
            </w:r>
          </w:p>
        </w:tc>
      </w:tr>
      <w:tr w:rsidR="007D4A93" w:rsidRPr="00654E3B">
        <w:trPr>
          <w:trHeight w:val="340"/>
        </w:trPr>
        <w:tc>
          <w:tcPr>
            <w:tcW w:w="13178" w:type="dxa"/>
            <w:gridSpan w:val="3"/>
            <w:vAlign w:val="center"/>
          </w:tcPr>
          <w:p w:rsidR="007D4A93" w:rsidRPr="00654E3B" w:rsidRDefault="00EF0BEB">
            <w:pPr>
              <w:spacing w:line="240" w:lineRule="auto"/>
              <w:rPr>
                <w:rFonts w:eastAsia="Times New Roman" w:cs="Times New Roman"/>
                <w:b/>
                <w:sz w:val="20"/>
                <w:lang w:eastAsia="hr-HR"/>
              </w:rPr>
            </w:pPr>
            <w:r w:rsidRPr="00654E3B">
              <w:rPr>
                <w:rFonts w:cs="Times New Roman"/>
                <w:b/>
                <w:sz w:val="20"/>
              </w:rPr>
              <w:t>POLJOPRIVREDA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MAG-1</w:t>
            </w:r>
          </w:p>
        </w:tc>
        <w:tc>
          <w:tcPr>
            <w:tcW w:w="2832" w:type="dxa"/>
            <w:vAlign w:val="center"/>
          </w:tcPr>
          <w:p w:rsidR="007D4A93" w:rsidRPr="00654E3B" w:rsidRDefault="00EF0BEB" w:rsidP="00DE41D8">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Promjena u </w:t>
            </w:r>
            <w:r w:rsidR="00DE41D8" w:rsidRPr="00654E3B">
              <w:rPr>
                <w:rFonts w:eastAsia="Times New Roman" w:cs="Times New Roman"/>
                <w:sz w:val="20"/>
                <w:lang w:eastAsia="hr-HR"/>
              </w:rPr>
              <w:t xml:space="preserve">ishrani </w:t>
            </w:r>
            <w:r w:rsidRPr="00654E3B">
              <w:rPr>
                <w:rFonts w:eastAsia="Times New Roman" w:cs="Times New Roman"/>
                <w:sz w:val="20"/>
                <w:lang w:eastAsia="hr-HR"/>
              </w:rPr>
              <w:t xml:space="preserve">goveda i svinja te kvaliteti </w:t>
            </w:r>
            <w:r w:rsidR="001E5EFB" w:rsidRPr="00654E3B">
              <w:rPr>
                <w:rFonts w:eastAsia="Times New Roman" w:cs="Times New Roman"/>
                <w:sz w:val="20"/>
                <w:lang w:eastAsia="hr-HR"/>
              </w:rPr>
              <w:t xml:space="preserve"> hrane za životinje</w:t>
            </w:r>
          </w:p>
        </w:tc>
        <w:tc>
          <w:tcPr>
            <w:tcW w:w="9217" w:type="dxa"/>
            <w:vAlign w:val="center"/>
          </w:tcPr>
          <w:p w:rsidR="007D4A93" w:rsidRPr="00654E3B" w:rsidRDefault="00EF0BEB" w:rsidP="00DE41D8">
            <w:pPr>
              <w:spacing w:line="240" w:lineRule="auto"/>
              <w:rPr>
                <w:rFonts w:eastAsia="Times New Roman" w:cs="Times New Roman"/>
                <w:sz w:val="20"/>
                <w:lang w:eastAsia="hr-HR"/>
              </w:rPr>
            </w:pPr>
            <w:r w:rsidRPr="00654E3B">
              <w:rPr>
                <w:rFonts w:cs="Times New Roman"/>
                <w:sz w:val="20"/>
              </w:rPr>
              <w:t xml:space="preserve">Mjere koje se poduzimaju usmjerene su na regulaciju probavnih procesa (način i režim </w:t>
            </w:r>
            <w:r w:rsidR="00DE41D8" w:rsidRPr="00654E3B">
              <w:rPr>
                <w:rFonts w:cs="Times New Roman"/>
                <w:sz w:val="20"/>
              </w:rPr>
              <w:t xml:space="preserve"> ishrane</w:t>
            </w:r>
            <w:r w:rsidRPr="00654E3B">
              <w:rPr>
                <w:rFonts w:cs="Times New Roman"/>
                <w:sz w:val="20"/>
              </w:rPr>
              <w:t>, odabir krmiva, upotrebu aditiva regulatora aktivnosti mikropopulacije). U praksi se najčešće primjenjuje više mjera istovremeno.</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MAG-2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Poboljšanje stočarskih gospodarstava i sustava gospodarenja stajskim gnojem</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Poboljšanjem i promjenom postojećih sustava gospodarenja stajskim gnojem i  korištenjem najboljih raspoloživih tehnika moguće je smanjiti navedene emisije.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MAG-3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Modifikacije proizvodnih sustava u stočarstvu</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t>Mjere kojima se postižu učinci na smanjenje emisije stakleničkih plinova odnose se na mjere kojima se povećava intenzitet proizvodnje po životinji i u jedinici vremena.</w:t>
            </w:r>
            <w:r w:rsidRPr="00654E3B">
              <w:rPr>
                <w:rFonts w:cs="Times New Roman"/>
              </w:rPr>
              <w:t xml:space="preserve">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Anaerobna razgradnja stajskog gnoja i proizvodnja bioplina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t>Uvođenjem bioplinskih postrojenja ostvaruje se smanjenje emisije CH</w:t>
            </w:r>
            <w:r w:rsidRPr="00654E3B">
              <w:rPr>
                <w:rFonts w:cs="Times New Roman"/>
                <w:sz w:val="20"/>
                <w:vertAlign w:val="subscript"/>
              </w:rPr>
              <w:t xml:space="preserve">4 </w:t>
            </w:r>
            <w:r w:rsidRPr="00654E3B">
              <w:rPr>
                <w:rFonts w:cs="Times New Roman"/>
                <w:sz w:val="20"/>
              </w:rPr>
              <w:t>uslijed iskorištavanja stelje kao obnovljivog izvora i proizvodnju električne energije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Poboljšanje uzgojno-selekcijskog programa, zdravlja i dobrobiti životinja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cs="Times New Roman"/>
                <w:sz w:val="20"/>
              </w:rPr>
              <w:t>Cilj mjere je odrediti i fenotipske i genetske varijacije u predviđenoj emisiji CH4 i odrediti potencijal genetike za smanjenje emisija  CH</w:t>
            </w:r>
            <w:r w:rsidRPr="00654E3B">
              <w:rPr>
                <w:rFonts w:cs="Times New Roman"/>
                <w:sz w:val="20"/>
                <w:vertAlign w:val="subscript"/>
              </w:rPr>
              <w:t>4</w:t>
            </w:r>
            <w:r w:rsidRPr="00654E3B">
              <w:rPr>
                <w:rFonts w:cs="Times New Roman"/>
                <w:sz w:val="20"/>
              </w:rPr>
              <w:t xml:space="preserve"> kod  mliječnih krava, ali i povećani intenzitet proizvodnje.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Unaprjeđivanje i promjena sustava obrade tla (reducirana obrada)</w:t>
            </w:r>
          </w:p>
        </w:tc>
        <w:tc>
          <w:tcPr>
            <w:tcW w:w="9217" w:type="dxa"/>
            <w:vAlign w:val="center"/>
          </w:tcPr>
          <w:p w:rsidR="007D4A93" w:rsidRPr="00654E3B" w:rsidRDefault="00EF0BEB">
            <w:pPr>
              <w:shd w:val="clear" w:color="auto" w:fill="FFFFFF"/>
              <w:spacing w:line="240" w:lineRule="auto"/>
              <w:rPr>
                <w:rFonts w:eastAsia="MS Mincho" w:cs="Times New Roman"/>
                <w:sz w:val="20"/>
                <w:lang w:eastAsia="ja-JP"/>
              </w:rPr>
            </w:pPr>
            <w:r w:rsidRPr="00654E3B">
              <w:rPr>
                <w:rFonts w:cs="Times New Roman"/>
                <w:sz w:val="20"/>
              </w:rPr>
              <w:t>Reducirana obrada tla predstavlja rezultat znanstvenih istraživanja i praktičnih provjera koji rezultiraju promjenom konvencionalnog sustava obrade tla kroz reduciranje dubine obrade, izostavljanje jednog ili više radnih zahvata, reduciranje frekvencije ili potpuno izostavljanje obrade, reduciranje površine tla koje se obrađuje te zadržavanje biljnih ostataka. Izravni utjecaj na emisiju stakleničkih plinova prvenstveno se odnosi na značajni utjecaj na sadržaj organskog ugljika u tlu te manji broja radnih sati strojeva.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Proširenje plodoreda s većim učešćem leguminoza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Sjetva leguminoznih usjeva veže atmosferski dušik, smanjuje se opasnost od onečišćenja podzemnih voda ,tlo se obogaćuje organskom tvari što ima višestruke pozitivne učinke na poboljšanje i održanje povoljnih fizikalnih, kemijskih i bioloških svojstava tla.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lastRenderedPageBreak/>
              <w:t>MAG-8</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Intenziviranje plodoreda korištenjem međuusjeva</w:t>
            </w:r>
          </w:p>
        </w:tc>
        <w:tc>
          <w:tcPr>
            <w:tcW w:w="9217" w:type="dxa"/>
            <w:vAlign w:val="center"/>
          </w:tcPr>
          <w:p w:rsidR="007D4A93" w:rsidRPr="00654E3B" w:rsidRDefault="00EF0BEB" w:rsidP="00DE41D8">
            <w:pPr>
              <w:spacing w:line="240" w:lineRule="auto"/>
              <w:rPr>
                <w:rFonts w:eastAsia="Times New Roman" w:cs="Times New Roman"/>
                <w:sz w:val="20"/>
                <w:lang w:eastAsia="hr-HR"/>
              </w:rPr>
            </w:pPr>
            <w:r w:rsidRPr="00654E3B">
              <w:rPr>
                <w:rFonts w:cs="Times New Roman"/>
                <w:sz w:val="20"/>
              </w:rPr>
              <w:t xml:space="preserve">Sjetvom međuusjeva koji se mogu  koristiti za </w:t>
            </w:r>
            <w:r w:rsidR="00DE41D8" w:rsidRPr="00654E3B">
              <w:rPr>
                <w:rFonts w:cs="Times New Roman"/>
                <w:sz w:val="20"/>
              </w:rPr>
              <w:t xml:space="preserve">ishranu </w:t>
            </w:r>
            <w:r w:rsidRPr="00654E3B">
              <w:rPr>
                <w:rFonts w:cs="Times New Roman"/>
                <w:sz w:val="20"/>
              </w:rPr>
              <w:t>stoke ili zaorati za zelenu gnojidbu, iskoristiti će se preostala hranjiva, spriječiti daljnje isparavanje vode iz tla, smanjiti gubitak ugljika iz tla, spriječiti ispiranje dušika u podzemne vode te povećati organsku masu u tlu.</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MAG-9</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Poboljšanje metoda primjene mineralnih gnojiva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Smanjenje potrošnje mineralnih gnojiva neizravna je korist iz ostalih mjera kojima se smanjuje potreba za njihovom primjenom, ali uz pravilnu gnojidbenu  praksu .Primjenom sporodjelujućih gnojiva može se i izravno utjecati na ukupnu primijenjenu količinu mineralnih gnojiva.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MAG-10</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Poboljšanje metoda primjene organskih gnojiva </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Organska gnojiva su podrijetlom iz organskih izvora poput krutog stajskog gnoja ili gnojovke i biljnih, odnosno životinjskih ostataka, te jače potiču aktivnost mikroba tla u odnosu na mineralna gnojiva. K</w:t>
            </w:r>
            <w:r w:rsidRPr="00654E3B">
              <w:rPr>
                <w:rFonts w:cs="Times New Roman"/>
                <w:bCs/>
                <w:sz w:val="20"/>
              </w:rPr>
              <w:t xml:space="preserve">orištenjem injektora za direktno ubrizgavanju u tlo smanjuje se gubitak dušika uslijed volatizacije </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MAG-11</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Agrošumarstvo</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 xml:space="preserve">Agrošumarstvo je zajednički naziv za sustave gospodarenja zemljištem pri kojem se trajne drvenaste vrste integriraju s uzgojem usjeva i/ili životinja na istoj površinskoj jedinici. Pojedini agrošumarski sustavi (npr. agrosilvakultura) su značajni ponori ugljika. </w:t>
            </w:r>
          </w:p>
          <w:p w:rsidR="007D4A93" w:rsidRPr="00654E3B" w:rsidRDefault="00EF0BEB">
            <w:pPr>
              <w:spacing w:line="240" w:lineRule="auto"/>
              <w:rPr>
                <w:rFonts w:eastAsia="Times New Roman" w:cs="Times New Roman"/>
                <w:sz w:val="20"/>
                <w:lang w:eastAsia="hr-HR"/>
              </w:rPr>
            </w:pPr>
            <w:r w:rsidRPr="00654E3B">
              <w:rPr>
                <w:rFonts w:cs="Times New Roman"/>
                <w:sz w:val="20"/>
              </w:rPr>
              <w:t>Potrebno je  putem pokusa ustanoviti primjenjivost agrošumarstva u našim uvjetima s obzirom na različite oblike i podjele, ali i na različite potrebe.</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MAG-12</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Hidromelioracijski zahvati i sustavi zaštite od nepogoda</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Uz kontroliranu primjenu mineralnih gnojiva, za smanjenje emisije nitrata važna je kontrolirana odvodnja, ponovno korištenje drenirane vode te korištenje vode odgovarajuće kvalitete.  Drenaža ima funkciju odvodnje suvišne količine vode. Također, promjena vodozračnih odnosa tla utječe i na aktivnost korisnih mikroorganizama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MAG-13</w:t>
            </w:r>
          </w:p>
        </w:tc>
        <w:tc>
          <w:tcPr>
            <w:tcW w:w="2832" w:type="dxa"/>
            <w:vAlign w:val="center"/>
          </w:tcPr>
          <w:p w:rsidR="007D4A93" w:rsidRPr="00654E3B" w:rsidRDefault="00C84D39" w:rsidP="00E523BF">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Uvođenje novih sorti i vrsta </w:t>
            </w:r>
          </w:p>
        </w:tc>
        <w:tc>
          <w:tcPr>
            <w:tcW w:w="9217" w:type="dxa"/>
            <w:vAlign w:val="center"/>
          </w:tcPr>
          <w:p w:rsidR="007D4A93" w:rsidRPr="00654E3B" w:rsidRDefault="00EF0BEB" w:rsidP="00FD4068">
            <w:pPr>
              <w:spacing w:line="240" w:lineRule="auto"/>
              <w:rPr>
                <w:rFonts w:eastAsia="Times New Roman" w:cs="Times New Roman"/>
                <w:sz w:val="20"/>
                <w:lang w:eastAsia="hr-HR"/>
              </w:rPr>
            </w:pPr>
            <w:r w:rsidRPr="00654E3B">
              <w:rPr>
                <w:rFonts w:eastAsia="Times New Roman" w:cs="Times New Roman"/>
                <w:sz w:val="20"/>
                <w:lang w:eastAsia="hr-HR"/>
              </w:rPr>
              <w:t xml:space="preserve">Smanjenje primjene mineralnog dušika kroz primjenu novih </w:t>
            </w:r>
            <w:r w:rsidR="00FD4068" w:rsidRPr="00654E3B">
              <w:rPr>
                <w:rFonts w:eastAsia="Times New Roman" w:cs="Times New Roman"/>
                <w:sz w:val="20"/>
                <w:lang w:eastAsia="hr-HR"/>
              </w:rPr>
              <w:t xml:space="preserve">sorti </w:t>
            </w:r>
            <w:r w:rsidRPr="00654E3B">
              <w:rPr>
                <w:rFonts w:eastAsia="Times New Roman" w:cs="Times New Roman"/>
                <w:sz w:val="20"/>
                <w:lang w:eastAsia="hr-HR"/>
              </w:rPr>
              <w:t>sa  otpornosti na sušu i na bolest,  kao i specifičnih leguminoza koje imaju sposobnost simbiotskog odnosa s kvržičnim bakterijama.</w:t>
            </w:r>
          </w:p>
        </w:tc>
      </w:tr>
      <w:tr w:rsidR="007D4A93" w:rsidRPr="00654E3B">
        <w:trPr>
          <w:trHeight w:val="340"/>
        </w:trPr>
        <w:tc>
          <w:tcPr>
            <w:tcW w:w="1129" w:type="dxa"/>
            <w:vAlign w:val="center"/>
          </w:tcPr>
          <w:p w:rsidR="007D4A93" w:rsidRPr="00654E3B" w:rsidRDefault="00EF0BEB">
            <w:pPr>
              <w:spacing w:line="240" w:lineRule="auto"/>
              <w:jc w:val="left"/>
              <w:rPr>
                <w:rFonts w:cs="Times New Roman"/>
                <w:sz w:val="20"/>
              </w:rPr>
            </w:pPr>
            <w:r w:rsidRPr="00654E3B">
              <w:rPr>
                <w:rFonts w:cs="Times New Roman"/>
                <w:sz w:val="20"/>
              </w:rPr>
              <w:t>MAG-14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Promjena načina prehrane ljudi </w:t>
            </w:r>
          </w:p>
        </w:tc>
        <w:tc>
          <w:tcPr>
            <w:tcW w:w="9217" w:type="dxa"/>
            <w:vAlign w:val="center"/>
          </w:tcPr>
          <w:p w:rsidR="007D4A93" w:rsidRPr="00654E3B" w:rsidRDefault="00EF0BEB" w:rsidP="009B6E92">
            <w:pPr>
              <w:spacing w:line="240" w:lineRule="auto"/>
              <w:rPr>
                <w:rFonts w:eastAsia="Times New Roman" w:cs="Times New Roman"/>
                <w:sz w:val="20"/>
                <w:lang w:eastAsia="hr-HR"/>
              </w:rPr>
            </w:pPr>
            <w:r w:rsidRPr="00654E3B">
              <w:rPr>
                <w:rFonts w:eastAsia="Times New Roman" w:cs="Times New Roman"/>
                <w:sz w:val="20"/>
                <w:lang w:eastAsia="hr-HR"/>
              </w:rPr>
              <w:t xml:space="preserve">Uzgoj žitarica za hranu </w:t>
            </w:r>
            <w:r w:rsidR="001E5EFB" w:rsidRPr="00654E3B">
              <w:rPr>
                <w:rFonts w:eastAsia="Times New Roman" w:cs="Times New Roman"/>
                <w:sz w:val="20"/>
                <w:lang w:eastAsia="hr-HR"/>
              </w:rPr>
              <w:t xml:space="preserve">za životinje </w:t>
            </w:r>
            <w:r w:rsidRPr="00654E3B">
              <w:rPr>
                <w:rFonts w:eastAsia="Times New Roman" w:cs="Times New Roman"/>
                <w:sz w:val="20"/>
                <w:lang w:eastAsia="hr-HR"/>
              </w:rPr>
              <w:t xml:space="preserve">proizvodi puno više stakleničkih plinova nego proizvodnja žitarica za ljudsku prehranu. </w:t>
            </w:r>
            <w:r w:rsidR="009B6E92" w:rsidRPr="00654E3B">
              <w:rPr>
                <w:rFonts w:eastAsia="Times New Roman" w:cs="Times New Roman"/>
                <w:sz w:val="20"/>
                <w:lang w:eastAsia="hr-HR"/>
              </w:rPr>
              <w:t xml:space="preserve">Povećanjem </w:t>
            </w:r>
            <w:r w:rsidRPr="00654E3B">
              <w:rPr>
                <w:rFonts w:eastAsia="Times New Roman" w:cs="Times New Roman"/>
                <w:sz w:val="20"/>
                <w:lang w:eastAsia="hr-HR"/>
              </w:rPr>
              <w:t xml:space="preserve">utroška </w:t>
            </w:r>
            <w:r w:rsidR="009B6E92" w:rsidRPr="00654E3B">
              <w:rPr>
                <w:rFonts w:eastAsia="Times New Roman" w:cs="Times New Roman"/>
                <w:sz w:val="20"/>
                <w:lang w:eastAsia="hr-HR"/>
              </w:rPr>
              <w:t xml:space="preserve">namirnica biljnog porijekla </w:t>
            </w:r>
            <w:r w:rsidRPr="00654E3B">
              <w:rPr>
                <w:rFonts w:eastAsia="Times New Roman" w:cs="Times New Roman"/>
                <w:sz w:val="20"/>
                <w:lang w:eastAsia="hr-HR"/>
              </w:rPr>
              <w:t xml:space="preserve"> u prehrani mogu se ostvariti značajna smanjenja emisija, kao i ušteda vode.</w:t>
            </w:r>
          </w:p>
        </w:tc>
      </w:tr>
      <w:tr w:rsidR="007D4A93" w:rsidRPr="00654E3B">
        <w:trPr>
          <w:trHeight w:val="340"/>
        </w:trPr>
        <w:tc>
          <w:tcPr>
            <w:tcW w:w="1129" w:type="dxa"/>
            <w:tcBorders>
              <w:bottom w:val="single" w:sz="4" w:space="0" w:color="000000"/>
            </w:tcBorders>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MAG-15</w:t>
            </w:r>
          </w:p>
        </w:tc>
        <w:tc>
          <w:tcPr>
            <w:tcW w:w="2832" w:type="dxa"/>
            <w:tcBorders>
              <w:bottom w:val="single" w:sz="4" w:space="0" w:color="000000"/>
            </w:tcBorders>
            <w:vAlign w:val="center"/>
          </w:tcPr>
          <w:p w:rsidR="007D4A93" w:rsidRPr="00654E3B" w:rsidRDefault="00C84D39" w:rsidP="00F6582E">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Sakupljanje </w:t>
            </w:r>
            <w:r w:rsidR="00E703C1" w:rsidRPr="00654E3B">
              <w:rPr>
                <w:rFonts w:eastAsia="Times New Roman" w:cs="Times New Roman"/>
                <w:sz w:val="20"/>
                <w:lang w:eastAsia="hr-HR"/>
              </w:rPr>
              <w:t xml:space="preserve">žetvenih i </w:t>
            </w:r>
            <w:r w:rsidRPr="00654E3B">
              <w:rPr>
                <w:rFonts w:eastAsia="Times New Roman" w:cs="Times New Roman"/>
                <w:sz w:val="20"/>
                <w:lang w:eastAsia="hr-HR"/>
              </w:rPr>
              <w:t xml:space="preserve">rezidbenih poljoprivrednih ostataka za korištenje u energetske svrhe </w:t>
            </w:r>
          </w:p>
        </w:tc>
        <w:tc>
          <w:tcPr>
            <w:tcW w:w="9217" w:type="dxa"/>
            <w:tcBorders>
              <w:bottom w:val="single" w:sz="4" w:space="0" w:color="000000"/>
            </w:tcBorders>
            <w:vAlign w:val="center"/>
          </w:tcPr>
          <w:p w:rsidR="007D4A93" w:rsidRPr="00654E3B" w:rsidRDefault="00EF0BEB">
            <w:pPr>
              <w:spacing w:line="240" w:lineRule="auto"/>
              <w:rPr>
                <w:rFonts w:cs="Times New Roman"/>
                <w:sz w:val="20"/>
                <w:lang w:eastAsia="hr-HR"/>
              </w:rPr>
            </w:pPr>
            <w:r w:rsidRPr="00654E3B">
              <w:rPr>
                <w:rFonts w:cs="Times New Roman"/>
                <w:sz w:val="20"/>
                <w:lang w:eastAsia="hr-HR"/>
              </w:rPr>
              <w:t xml:space="preserve">Energetsko iskorištavanje </w:t>
            </w:r>
            <w:r w:rsidR="00F6582E" w:rsidRPr="00654E3B">
              <w:rPr>
                <w:rFonts w:cs="Times New Roman"/>
                <w:sz w:val="20"/>
                <w:lang w:eastAsia="hr-HR"/>
              </w:rPr>
              <w:t xml:space="preserve">poslijerezidbenih </w:t>
            </w:r>
            <w:r w:rsidRPr="00654E3B">
              <w:rPr>
                <w:rFonts w:cs="Times New Roman"/>
                <w:sz w:val="20"/>
                <w:lang w:eastAsia="hr-HR"/>
              </w:rPr>
              <w:t xml:space="preserve">ostataka (s naglaskom na ratarske) </w:t>
            </w:r>
            <w:r w:rsidR="00FD4068" w:rsidRPr="00654E3B">
              <w:rPr>
                <w:rFonts w:cs="Times New Roman"/>
                <w:sz w:val="20"/>
                <w:lang w:eastAsia="hr-HR"/>
              </w:rPr>
              <w:t xml:space="preserve">vrste </w:t>
            </w:r>
            <w:r w:rsidRPr="00654E3B">
              <w:rPr>
                <w:rFonts w:cs="Times New Roman"/>
                <w:sz w:val="20"/>
                <w:lang w:eastAsia="hr-HR"/>
              </w:rPr>
              <w:t xml:space="preserve">jedan je od značajnijih načina proizvodnje energije iz biomase u RH. Ostali mogući izvori su ostaci zimske </w:t>
            </w:r>
            <w:r w:rsidR="00F6582E" w:rsidRPr="00654E3B">
              <w:rPr>
                <w:rFonts w:cs="Times New Roman"/>
                <w:sz w:val="20"/>
                <w:lang w:eastAsia="hr-HR"/>
              </w:rPr>
              <w:t xml:space="preserve">rezidbe </w:t>
            </w:r>
            <w:r w:rsidRPr="00654E3B">
              <w:rPr>
                <w:rFonts w:cs="Times New Roman"/>
                <w:sz w:val="20"/>
                <w:lang w:eastAsia="hr-HR"/>
              </w:rPr>
              <w:t xml:space="preserve">gotovo svih hortikulturnih vrsta, kao i brzorastuće </w:t>
            </w:r>
            <w:r w:rsidR="00FD4068" w:rsidRPr="00654E3B">
              <w:rPr>
                <w:rFonts w:cs="Times New Roman"/>
                <w:sz w:val="20"/>
                <w:lang w:eastAsia="hr-HR"/>
              </w:rPr>
              <w:t xml:space="preserve">vrste </w:t>
            </w:r>
            <w:r w:rsidRPr="00654E3B">
              <w:rPr>
                <w:rFonts w:cs="Times New Roman"/>
                <w:sz w:val="20"/>
                <w:lang w:eastAsia="hr-HR"/>
              </w:rPr>
              <w:t>za proizvodnju energije koje se sade/siju isključivo za proizvodnju biomase s ciljem njezine konverzije u energiju.</w:t>
            </w:r>
          </w:p>
          <w:p w:rsidR="007D4A93" w:rsidRPr="00654E3B" w:rsidRDefault="00EF0BEB">
            <w:pPr>
              <w:spacing w:line="240" w:lineRule="auto"/>
              <w:rPr>
                <w:rFonts w:eastAsia="Times New Roman" w:cs="Times New Roman"/>
                <w:sz w:val="20"/>
                <w:lang w:eastAsia="hr-HR"/>
              </w:rPr>
            </w:pPr>
            <w:r w:rsidRPr="00654E3B">
              <w:rPr>
                <w:rFonts w:cs="Times New Roman"/>
                <w:sz w:val="20"/>
                <w:lang w:eastAsia="hr-HR"/>
              </w:rPr>
              <w:t xml:space="preserve">U cilju razvoja tržišta biomase, uspostavit će se sabirno-logistički centri za biomasu koristeći postojeću infrastrukturu (komunalna poduzeća, centre kompetencija, poslovne zone) kako bi se smanjio jedinični trošak proizvodnje proizvoda iz biomase te kapitalizirali inovacijski kapaciteti i neophodna oprema za inovativne proizvode iz biomase za biogospodarstvo. Sabirno-logistički centri imat će ulogu poveznice između </w:t>
            </w:r>
            <w:r w:rsidRPr="00654E3B">
              <w:rPr>
                <w:rFonts w:cs="Times New Roman"/>
                <w:sz w:val="20"/>
                <w:lang w:eastAsia="hr-HR"/>
              </w:rPr>
              <w:lastRenderedPageBreak/>
              <w:t>poljoprivrednika koji posjeduje biomasu, prerade biomase u nove proizvode s većom dodanom vrijednosti, razvoja novih proizvoda te plasiranja tih novih proizvoda na tržište.</w:t>
            </w:r>
          </w:p>
        </w:tc>
      </w:tr>
      <w:tr w:rsidR="007D4A93" w:rsidRPr="00654E3B">
        <w:trPr>
          <w:trHeight w:val="340"/>
        </w:trPr>
        <w:tc>
          <w:tcPr>
            <w:tcW w:w="13178" w:type="dxa"/>
            <w:gridSpan w:val="3"/>
            <w:tcBorders>
              <w:bottom w:val="single" w:sz="4" w:space="0" w:color="000000"/>
            </w:tcBorders>
            <w:vAlign w:val="center"/>
          </w:tcPr>
          <w:p w:rsidR="007D4A93" w:rsidRPr="00654E3B" w:rsidRDefault="00EF0BEB">
            <w:pPr>
              <w:spacing w:line="240" w:lineRule="auto"/>
              <w:rPr>
                <w:rFonts w:cs="Times New Roman"/>
                <w:b/>
                <w:sz w:val="20"/>
                <w:lang w:eastAsia="hr-HR"/>
              </w:rPr>
            </w:pPr>
            <w:r w:rsidRPr="00654E3B">
              <w:rPr>
                <w:rFonts w:cs="Times New Roman"/>
                <w:b/>
                <w:sz w:val="20"/>
              </w:rPr>
              <w:lastRenderedPageBreak/>
              <w:t>OTPAD</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MWM-1</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Sprječavanje nastajanja i smanjivanje količine krutog otpada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To je prvi po redu prioritet u gospodarenju otpadom, prema Zakonu o održivom gospodarenju otpadom (</w:t>
            </w:r>
            <w:r w:rsidR="0097190B" w:rsidRPr="00654E3B">
              <w:rPr>
                <w:rFonts w:cs="Times New Roman"/>
                <w:sz w:val="20"/>
              </w:rPr>
              <w:t>Narodne novine</w:t>
            </w:r>
            <w:r w:rsidRPr="00654E3B">
              <w:rPr>
                <w:rFonts w:cs="Times New Roman"/>
                <w:sz w:val="20"/>
              </w:rPr>
              <w:t>, br. 94/13, 73/17, 14/19). Sprječavanje nastajanja i smanjivanje količine otpada uključuje komunalni otpad, proizvodni otpad i mulj iz uređaja za pročišćavanje otpadnih voda.</w:t>
            </w:r>
          </w:p>
          <w:p w:rsidR="007D4A93" w:rsidRPr="00654E3B" w:rsidRDefault="00EF0BEB">
            <w:pPr>
              <w:spacing w:line="240" w:lineRule="auto"/>
              <w:rPr>
                <w:rFonts w:cs="Times New Roman"/>
                <w:sz w:val="20"/>
              </w:rPr>
            </w:pPr>
            <w:r w:rsidRPr="00654E3B">
              <w:rPr>
                <w:rFonts w:cs="Times New Roman"/>
                <w:sz w:val="20"/>
              </w:rPr>
              <w:t xml:space="preserve">Sprječavanje nastajanja otpada postiže se postupkom ponovne uporabe i primjenom instrumenata nusproizvoda i ukidanja statusa otpada, koji će neposredno utjecati na smanjenje nastanka ukupne količine otpada. Provođenje mjera za sprječavanje nastanka otpada definirano je </w:t>
            </w:r>
            <w:r w:rsidR="00492484" w:rsidRPr="00654E3B">
              <w:rPr>
                <w:rFonts w:cs="Times New Roman"/>
                <w:sz w:val="20"/>
              </w:rPr>
              <w:t xml:space="preserve">kao i </w:t>
            </w:r>
            <w:r w:rsidRPr="00654E3B">
              <w:rPr>
                <w:rFonts w:cs="Times New Roman"/>
                <w:sz w:val="20"/>
              </w:rPr>
              <w:t>Planom sprječavanja</w:t>
            </w:r>
            <w:r w:rsidR="00492484" w:rsidRPr="00654E3B">
              <w:rPr>
                <w:rFonts w:cs="Times New Roman"/>
                <w:sz w:val="20"/>
              </w:rPr>
              <w:t xml:space="preserve"> i smanjenja nastajanja otpada od hrane Republike Hrvatske 2019-2022, koji Ministarstvo poljoprivrede izrađuje i predlaže Vladi Republike Hrvatske</w:t>
            </w:r>
            <w:r w:rsidRPr="00654E3B">
              <w:rPr>
                <w:rFonts w:cs="Times New Roman"/>
                <w:sz w:val="20"/>
              </w:rPr>
              <w:t>. Najvažnije mjere u pogledu sprječavanja nastanka otpada su uspostava Centara za ponovnu uporabu i osiguranje potrebne opreme za kućno kompostiranje.</w:t>
            </w:r>
          </w:p>
          <w:p w:rsidR="007D4A93" w:rsidRPr="00654E3B" w:rsidRDefault="00EF0BEB">
            <w:pPr>
              <w:spacing w:line="240" w:lineRule="auto"/>
              <w:rPr>
                <w:rFonts w:cs="Times New Roman"/>
                <w:sz w:val="20"/>
              </w:rPr>
            </w:pPr>
            <w:r w:rsidRPr="00654E3B">
              <w:rPr>
                <w:rFonts w:cs="Times New Roman"/>
                <w:sz w:val="20"/>
              </w:rPr>
              <w:t>Ova mjera se treba postići čistijom proizvodnjom, odgojem i obrazovanjem, ekonomskim instrumentima, primjenom propisa u gospodarenju otpadom i ulaganjem u suvremene tehnologije kojima se omogućava materijalna oporaba i kemijsko recikliranje otpada (proizvodnja različitih industrijskih spojeva poput etilena, amonijaka i sl., kao i različitih goriva poput vodika, sintetskog plina i tekućih goriva na bazi ugljika</w:t>
            </w:r>
            <w:r w:rsidRPr="00654E3B">
              <w:rPr>
                <w:rFonts w:cs="Times New Roman"/>
                <w:i/>
                <w:iCs/>
                <w:sz w:val="20"/>
              </w:rPr>
              <w:t>)</w:t>
            </w:r>
            <w:r w:rsidRPr="00654E3B">
              <w:rPr>
                <w:rFonts w:cs="Times New Roman"/>
                <w:sz w:val="20"/>
              </w:rPr>
              <w:t xml:space="preserve">. Sukladno zakonu definirani su kvantitativni ciljevi i rokovi za smanjenje ukupne količine odloženog otpada na neusklađena odlagališta. Odlaganje otpada na neusklađena odlagališta u </w:t>
            </w:r>
            <w:r w:rsidRPr="00654E3B">
              <w:rPr>
                <w:rFonts w:eastAsia="Times New Roman" w:cs="Times New Roman"/>
                <w:sz w:val="20"/>
                <w:lang w:eastAsia="hr-HR"/>
              </w:rPr>
              <w:t>Republici Hrvatskoj</w:t>
            </w:r>
            <w:r w:rsidRPr="00654E3B">
              <w:rPr>
                <w:rFonts w:cs="Times New Roman"/>
                <w:sz w:val="20"/>
              </w:rPr>
              <w:t xml:space="preserve"> zabranjeno je nakon 31. prosinca 2017. godine. </w:t>
            </w:r>
          </w:p>
          <w:p w:rsidR="007D4A93" w:rsidRPr="00654E3B" w:rsidRDefault="00EF0BEB">
            <w:pPr>
              <w:spacing w:line="240" w:lineRule="auto"/>
              <w:rPr>
                <w:rFonts w:cs="Times New Roman"/>
                <w:sz w:val="20"/>
              </w:rPr>
            </w:pPr>
            <w:r w:rsidRPr="00654E3B">
              <w:rPr>
                <w:rFonts w:cs="Times New Roman"/>
                <w:sz w:val="20"/>
              </w:rPr>
              <w:t>Prema Direktivi (EU) 2018/850 Europskog parlamenta i Vijeća od 30. svibnja 2018. o izmjeni Direktive 1999/31/EZ o odlagalištima otpada, države članice trebale bi poduzeti potrebne mjere da se do 2035. godine količina odloženog komunalnog otpada smanji na 10</w:t>
            </w:r>
            <w:r w:rsidR="00060992" w:rsidRPr="00654E3B">
              <w:rPr>
                <w:rFonts w:cs="Times New Roman"/>
                <w:sz w:val="20"/>
              </w:rPr>
              <w:t xml:space="preserve"> %</w:t>
            </w:r>
            <w:r w:rsidRPr="00654E3B">
              <w:rPr>
                <w:rFonts w:cs="Times New Roman"/>
                <w:sz w:val="20"/>
              </w:rPr>
              <w:t xml:space="preserve"> ukupne količine (po masi) proizvedenog komunalnog otpada ili manje. Republika Hrvatska je dobila mogućnost odgode od pet godina za ispunjavanje navedenog cilja jer je među državama članicama koje su 2013. godine odlagale više od 60</w:t>
            </w:r>
            <w:r w:rsidR="00060992" w:rsidRPr="00654E3B">
              <w:rPr>
                <w:rFonts w:cs="Times New Roman"/>
                <w:sz w:val="20"/>
              </w:rPr>
              <w:t xml:space="preserve"> %</w:t>
            </w:r>
            <w:r w:rsidRPr="00654E3B">
              <w:rPr>
                <w:rFonts w:cs="Times New Roman"/>
                <w:sz w:val="20"/>
              </w:rPr>
              <w:t xml:space="preserve"> komunalnog otpada na odlagalištima. Sukladno tome, taj cilj će morati ispuniti do 2040. godine, pod uvjetom da mora poduzeti potrebne mjere da se do 2025. godine količina komunalnog otpada koji se odlaže smanji na 25</w:t>
            </w:r>
            <w:r w:rsidR="00060992" w:rsidRPr="00654E3B">
              <w:rPr>
                <w:rFonts w:cs="Times New Roman"/>
                <w:sz w:val="20"/>
              </w:rPr>
              <w:t xml:space="preserve"> %</w:t>
            </w:r>
            <w:r w:rsidRPr="00654E3B">
              <w:rPr>
                <w:rFonts w:cs="Times New Roman"/>
                <w:sz w:val="20"/>
              </w:rPr>
              <w:t xml:space="preserve"> ukupne količine (po masi) nastalog komunalnog otpada ili manje.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MWM-2</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Povećanje količine odvojeno skupljenog i recikliranog krutog otpada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Kvantitativni ciljevi i rokovi za povećanje količine odvojeno skupljenog i recikliranog otpada osim Zakonom o održivom gospodarenju otpadom definirani su i Planom gospodarenja otpadom Republike Hrvatske za razdoblje 2017. - 2022. godine (</w:t>
            </w:r>
            <w:r w:rsidR="0097190B" w:rsidRPr="00654E3B">
              <w:rPr>
                <w:rFonts w:cs="Times New Roman"/>
                <w:sz w:val="20"/>
              </w:rPr>
              <w:t>Narodne novine</w:t>
            </w:r>
            <w:r w:rsidRPr="00654E3B">
              <w:rPr>
                <w:rFonts w:cs="Times New Roman"/>
                <w:sz w:val="20"/>
              </w:rPr>
              <w:t>, br</w:t>
            </w:r>
            <w:r w:rsidR="001C0429" w:rsidRPr="00654E3B">
              <w:rPr>
                <w:rFonts w:cs="Times New Roman"/>
                <w:sz w:val="20"/>
              </w:rPr>
              <w:t xml:space="preserve">oj </w:t>
            </w:r>
            <w:r w:rsidRPr="00654E3B">
              <w:rPr>
                <w:rFonts w:cs="Times New Roman"/>
                <w:sz w:val="20"/>
              </w:rPr>
              <w:t>3/17).</w:t>
            </w:r>
          </w:p>
          <w:p w:rsidR="007D4A93" w:rsidRPr="00654E3B" w:rsidRDefault="00EF0BEB">
            <w:pPr>
              <w:spacing w:line="240" w:lineRule="auto"/>
              <w:rPr>
                <w:rFonts w:cs="Times New Roman"/>
                <w:sz w:val="20"/>
              </w:rPr>
            </w:pPr>
            <w:r w:rsidRPr="00654E3B">
              <w:rPr>
                <w:rFonts w:cs="Times New Roman"/>
                <w:sz w:val="20"/>
              </w:rPr>
              <w:lastRenderedPageBreak/>
              <w:t>Ciljevi gospodarenja otpadom propisuju se radi poticanja prelaska na gospodarstvo koje je u većoj mjeri kružno i u kojem se što dulje zadržava vrijednost proizvoda, materijala i resursa, a stvaranje otpada se svodi na najmanju moguću mjeru.</w:t>
            </w:r>
          </w:p>
          <w:p w:rsidR="007D4A93" w:rsidRPr="00654E3B" w:rsidRDefault="00EF0BEB">
            <w:pPr>
              <w:spacing w:line="240" w:lineRule="auto"/>
              <w:rPr>
                <w:rFonts w:cs="Times New Roman"/>
                <w:sz w:val="20"/>
              </w:rPr>
            </w:pPr>
            <w:r w:rsidRPr="00654E3B">
              <w:rPr>
                <w:rFonts w:cs="Times New Roman"/>
                <w:sz w:val="20"/>
              </w:rPr>
              <w:t>U svrhu doprinosa kružnom gospodarstvu Europske unije, prema Direktivi (EU) 2018/851 Europskog parlamenta i Vijeća od 30. svibnja 2018. o izmjeni Direktive 2008/98/EZ o otpadu, Republika Hrvatska treba ostvariti sljedeće ciljeve:</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50</w:t>
            </w:r>
            <w:r w:rsidR="00060992" w:rsidRPr="00654E3B">
              <w:rPr>
                <w:rFonts w:cs="Times New Roman"/>
                <w:sz w:val="20"/>
              </w:rPr>
              <w:t xml:space="preserve"> %</w:t>
            </w:r>
            <w:r w:rsidRPr="00654E3B">
              <w:rPr>
                <w:rFonts w:cs="Times New Roman"/>
                <w:sz w:val="20"/>
              </w:rPr>
              <w:t xml:space="preserve"> mase otpada iz kućanstva i otpada iz drugih izvora čiji su tokovi otpada slični toku otpada iz kućanstva, uključujući barem papir, metal, plastiku i staklo, mora se oporabiti recikliranjem i pripremom za ponovnu uporabu;</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70</w:t>
            </w:r>
            <w:r w:rsidR="00060992" w:rsidRPr="00654E3B">
              <w:rPr>
                <w:rFonts w:cs="Times New Roman"/>
                <w:sz w:val="20"/>
              </w:rPr>
              <w:t xml:space="preserve"> %</w:t>
            </w:r>
            <w:r w:rsidRPr="00654E3B">
              <w:rPr>
                <w:rFonts w:cs="Times New Roman"/>
                <w:sz w:val="20"/>
              </w:rPr>
              <w:t xml:space="preserve"> mase neopasnog građevnog otpada, osim materijala iz prirode određenog ključnim brojem otpada 17 05 04 - zemlja i kamenje koji nisu navedeni pod 17 05 03, mora se oporabiti recikliranjem, pripremom za ponovnu uporabu i drugim postupcima materijalne oporabe, uključujući postupak nasipavanja, kod kojih se otpad koristi kao zamjena za druge materijale;</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55</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2025. godine;</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60</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2030. godine;</w:t>
            </w:r>
          </w:p>
          <w:p w:rsidR="007D4A93" w:rsidRPr="00654E3B" w:rsidRDefault="00EF0BEB" w:rsidP="000C6795">
            <w:pPr>
              <w:numPr>
                <w:ilvl w:val="0"/>
                <w:numId w:val="80"/>
              </w:numPr>
              <w:spacing w:line="240" w:lineRule="auto"/>
              <w:rPr>
                <w:rFonts w:cs="Times New Roman"/>
                <w:sz w:val="20"/>
              </w:rPr>
            </w:pPr>
            <w:r w:rsidRPr="00654E3B">
              <w:rPr>
                <w:rFonts w:cs="Times New Roman"/>
                <w:sz w:val="20"/>
              </w:rPr>
              <w:t>najmanje 65</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2035. godine.</w:t>
            </w:r>
          </w:p>
          <w:p w:rsidR="007D4A93" w:rsidRPr="00654E3B" w:rsidRDefault="00EF0BEB">
            <w:pPr>
              <w:spacing w:line="240" w:lineRule="auto"/>
              <w:rPr>
                <w:rFonts w:cs="Times New Roman"/>
                <w:sz w:val="20"/>
              </w:rPr>
            </w:pPr>
            <w:r w:rsidRPr="00654E3B">
              <w:rPr>
                <w:rFonts w:cs="Times New Roman"/>
                <w:sz w:val="20"/>
              </w:rPr>
              <w:t>Republika Hrvatska je dobila mogućnost odgode od pet godina za ispunjavanje navedenih ciljeva jer je među državama članicama koje su 2013. godine reciklirale manje od 20</w:t>
            </w:r>
            <w:r w:rsidR="00060992" w:rsidRPr="00654E3B">
              <w:rPr>
                <w:rFonts w:cs="Times New Roman"/>
                <w:sz w:val="20"/>
              </w:rPr>
              <w:t xml:space="preserve"> %</w:t>
            </w:r>
            <w:r w:rsidRPr="00654E3B">
              <w:rPr>
                <w:rFonts w:cs="Times New Roman"/>
                <w:sz w:val="20"/>
              </w:rPr>
              <w:t xml:space="preserve"> komunalnog otpada. Sukladno tome, Republika Hrvatska mora poduzeti potrebne mjere za ostvarenje sljedećih ciljeva:</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50</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2025. godine;</w:t>
            </w:r>
          </w:p>
          <w:p w:rsidR="007D4A93" w:rsidRPr="00654E3B" w:rsidRDefault="00EF0BEB" w:rsidP="000C6795">
            <w:pPr>
              <w:numPr>
                <w:ilvl w:val="0"/>
                <w:numId w:val="80"/>
              </w:numPr>
              <w:spacing w:after="0" w:line="240" w:lineRule="auto"/>
              <w:rPr>
                <w:rFonts w:cs="Times New Roman"/>
                <w:sz w:val="20"/>
              </w:rPr>
            </w:pPr>
            <w:r w:rsidRPr="00654E3B">
              <w:rPr>
                <w:rFonts w:cs="Times New Roman"/>
                <w:sz w:val="20"/>
              </w:rPr>
              <w:t>najmanje 55</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2030. godine;</w:t>
            </w:r>
          </w:p>
          <w:p w:rsidR="007D4A93" w:rsidRPr="00654E3B" w:rsidRDefault="00EF0BEB" w:rsidP="000C6795">
            <w:pPr>
              <w:numPr>
                <w:ilvl w:val="0"/>
                <w:numId w:val="80"/>
              </w:numPr>
              <w:spacing w:line="240" w:lineRule="auto"/>
              <w:ind w:left="714" w:hanging="357"/>
              <w:rPr>
                <w:rFonts w:cs="Times New Roman"/>
                <w:sz w:val="20"/>
              </w:rPr>
            </w:pPr>
            <w:r w:rsidRPr="00654E3B">
              <w:rPr>
                <w:rFonts w:cs="Times New Roman"/>
                <w:sz w:val="20"/>
              </w:rPr>
              <w:t>najmanje 60</w:t>
            </w:r>
            <w:r w:rsidR="00060992" w:rsidRPr="00654E3B">
              <w:rPr>
                <w:rFonts w:cs="Times New Roman"/>
                <w:sz w:val="20"/>
              </w:rPr>
              <w:t xml:space="preserve"> %</w:t>
            </w:r>
            <w:r w:rsidRPr="00654E3B">
              <w:rPr>
                <w:rFonts w:cs="Times New Roman"/>
                <w:sz w:val="20"/>
              </w:rPr>
              <w:t xml:space="preserve"> mase komunalnog otpada mora se oporabiti recikliranjem i pripremom za ponovnu uporabu do 2035. godine.</w:t>
            </w:r>
          </w:p>
          <w:p w:rsidR="007D4A93" w:rsidRPr="00654E3B" w:rsidRDefault="007D4A93">
            <w:pPr>
              <w:rPr>
                <w:rFonts w:cs="Times New Roman"/>
              </w:rPr>
            </w:pP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MWM-3</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Osiguravanje sustava obrade i korištenja odlagališnog plina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Pravilnikom o načinima i uvjetima odlaganja otpada, kategorijama i uvjetima rada za odlagališta otpada (</w:t>
            </w:r>
            <w:r w:rsidR="0097190B" w:rsidRPr="00654E3B">
              <w:rPr>
                <w:rFonts w:cs="Times New Roman"/>
                <w:sz w:val="20"/>
              </w:rPr>
              <w:t>Narodne novine</w:t>
            </w:r>
            <w:r w:rsidRPr="00654E3B">
              <w:rPr>
                <w:rFonts w:cs="Times New Roman"/>
                <w:sz w:val="20"/>
              </w:rPr>
              <w:t>, br. 114/15, 103/18, 56/19) i Pravilnikom o gospodarenju otpadom (</w:t>
            </w:r>
            <w:r w:rsidR="0097190B" w:rsidRPr="00654E3B">
              <w:rPr>
                <w:rFonts w:cs="Times New Roman"/>
                <w:sz w:val="20"/>
              </w:rPr>
              <w:t>Narodne novine</w:t>
            </w:r>
            <w:r w:rsidRPr="00654E3B">
              <w:rPr>
                <w:rFonts w:cs="Times New Roman"/>
                <w:sz w:val="20"/>
              </w:rPr>
              <w:t>, br</w:t>
            </w:r>
            <w:r w:rsidR="001C0429" w:rsidRPr="00654E3B">
              <w:rPr>
                <w:rFonts w:cs="Times New Roman"/>
                <w:sz w:val="20"/>
              </w:rPr>
              <w:t xml:space="preserve">oj </w:t>
            </w:r>
            <w:r w:rsidRPr="00654E3B">
              <w:rPr>
                <w:rFonts w:cs="Times New Roman"/>
                <w:sz w:val="20"/>
              </w:rPr>
              <w:t>117/17)</w:t>
            </w:r>
            <w:r w:rsidR="001C0429" w:rsidRPr="00654E3B">
              <w:rPr>
                <w:rFonts w:cs="Times New Roman"/>
                <w:sz w:val="20"/>
              </w:rPr>
              <w:t>,</w:t>
            </w:r>
            <w:r w:rsidRPr="00654E3B">
              <w:rPr>
                <w:rFonts w:cs="Times New Roman"/>
                <w:sz w:val="20"/>
              </w:rPr>
              <w:t xml:space="preserve"> propisani su strogi tehnički uvjeti rada za odlagališta otpada, kojima se smanjuju moguće štetne posljedice </w:t>
            </w:r>
            <w:r w:rsidRPr="00654E3B">
              <w:rPr>
                <w:rFonts w:cs="Times New Roman"/>
                <w:sz w:val="20"/>
              </w:rPr>
              <w:lastRenderedPageBreak/>
              <w:t>odlagališta na okoliš. Na odlagalištu na kojemu nastaje odlagališni plin potrebno je osigurati sustav sakupljanja plina koji se mora obraditi i koristiti. Ako se sakupljeni odlagališni plinovi ne mogu upotrijebiti za dobivanje energije, treba ih spaliti na području odlagališta i spriječiti emisiju metana u atmosferu.</w:t>
            </w:r>
          </w:p>
          <w:p w:rsidR="007D4A93" w:rsidRPr="00654E3B" w:rsidRDefault="00EF0BEB">
            <w:pPr>
              <w:spacing w:line="240" w:lineRule="auto"/>
              <w:rPr>
                <w:rFonts w:cs="Times New Roman"/>
                <w:sz w:val="20"/>
              </w:rPr>
            </w:pPr>
            <w:r w:rsidRPr="00654E3B">
              <w:rPr>
                <w:rFonts w:cs="Times New Roman"/>
                <w:sz w:val="20"/>
              </w:rPr>
              <w:t>Primjena obvezujućih ciljeva vezanih uz smanjenje odlaganja i recikliranje otpada, opisanih u mjerama Sprječavanje nastajanja i smanjivanje količine krutog otpada i Povećanje količine odvojeno skupljenog i recikliranog krutog otpada, utječe na količinu nastalog odlagališnog plina.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MWM-4</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Smanjenje količine odloženog biorazgradivog otpada</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Cilj ove mjere je smanjiti količinu biorazgradive frakcije otpada koja se odlaže na odlagališta, čime se smanjuje emisija metana nastalog anaerobnim procesima razgradnje otpada.</w:t>
            </w:r>
          </w:p>
          <w:p w:rsidR="007D4A93" w:rsidRPr="00654E3B" w:rsidRDefault="00EF0BEB">
            <w:pPr>
              <w:spacing w:line="240" w:lineRule="auto"/>
              <w:rPr>
                <w:rFonts w:cs="Times New Roman"/>
                <w:sz w:val="20"/>
              </w:rPr>
            </w:pPr>
            <w:r w:rsidRPr="00654E3B">
              <w:rPr>
                <w:rFonts w:cs="Times New Roman"/>
                <w:sz w:val="20"/>
              </w:rPr>
              <w:t>Sukladno Zakonu o održivom gospodarenju otpadom utvrđeni su kvantitativni ciljevi koji se odnose na smanjenje udjela biorazgradivog komunalnog otpada koji se odlaže na odlagališta. Kako bi se spriječilo odlaganje biootpada na odlagališta otpada i doprinijelo ostvarenju ostalih ciljeva gospodarenja otpadom potrebno je potaknuti građane na kompostiranje. Cilj je postići da kućanstva odvajaju biootpad od ostalog kućnog (komunalnog) otpada odlaganjem u spremnike za biootpad</w:t>
            </w:r>
            <w:r w:rsidRPr="00654E3B">
              <w:rPr>
                <w:rFonts w:cs="Times New Roman"/>
                <w:i/>
                <w:iCs/>
                <w:sz w:val="20"/>
              </w:rPr>
              <w:t>.</w:t>
            </w:r>
            <w:r w:rsidRPr="00654E3B">
              <w:rPr>
                <w:rFonts w:cs="Times New Roman"/>
                <w:sz w:val="20"/>
              </w:rPr>
              <w:t xml:space="preserve"> Ovom mjerom će se obuhvatiti ruralna područja, odnosno predgrađa urbanih sredina s većim brojem samostalnih stambenih jedinica s okućnicom. Na području Republike Hrvatske provedbom ove mjere moguće je smanjiti do 90.000 t biootpada godišnje.</w:t>
            </w:r>
          </w:p>
          <w:p w:rsidR="007D4A93" w:rsidRPr="00654E3B" w:rsidRDefault="00EF0BEB">
            <w:pPr>
              <w:spacing w:line="240" w:lineRule="auto"/>
              <w:rPr>
                <w:rFonts w:cs="Times New Roman"/>
                <w:sz w:val="20"/>
              </w:rPr>
            </w:pPr>
            <w:r w:rsidRPr="00654E3B">
              <w:rPr>
                <w:rFonts w:cs="Times New Roman"/>
                <w:sz w:val="20"/>
              </w:rPr>
              <w:t>S obzirom da značajan dio biootpada čini otpad od hrane, nužan je nastavak međuresornih aktivnosti na sprječavanju i smanjenju nastanka otpada od hrane.</w:t>
            </w:r>
            <w:r w:rsidR="00492484" w:rsidRPr="00654E3B">
              <w:rPr>
                <w:rFonts w:cs="Times New Roman"/>
                <w:sz w:val="20"/>
              </w:rPr>
              <w:t xml:space="preserve"> Budući da otpad od hrane predstavlja potrošene prirodne i ljudske resurse te pridonosi emisiji stakleničkih plinova, a u cilju doprinosa ostvarenju cilja 12.3. UN-ove Agende 2030. za održivi razvoj, odnosno smanjenju otpada od hrane na razini maloprodaje i potrošača za pola te općenito smanjenju gubitaka hrane duž cijelog prehrambenog lanca, potrebno je provoditi aktivnosti i mjere predviđene Planom sprječavanja i smanjenja nastajanja otpada od hrane RH 2019.-2022.</w:t>
            </w:r>
          </w:p>
          <w:p w:rsidR="007D4A93" w:rsidRPr="00654E3B" w:rsidRDefault="00EF0BEB">
            <w:pPr>
              <w:spacing w:line="240" w:lineRule="auto"/>
              <w:rPr>
                <w:rFonts w:cs="Times New Roman"/>
                <w:sz w:val="20"/>
              </w:rPr>
            </w:pPr>
            <w:r w:rsidRPr="00654E3B">
              <w:rPr>
                <w:rFonts w:cs="Times New Roman"/>
                <w:sz w:val="20"/>
              </w:rPr>
              <w:t>Primjena obvezujućih ciljeva vezanih uz smanjenje odlaganja i recikliranje otpada, opisanih u mjerama Sprječavanje nastajanja i smanjivanje količine krutog otpada i Povećanje količine odvojeno skupljenog i recikliranog krutog otpada, utječe na smanjenje količine odloženog biorazgradivog otpada.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MWM-5</w:t>
            </w:r>
          </w:p>
        </w:tc>
        <w:tc>
          <w:tcPr>
            <w:tcW w:w="2832" w:type="dxa"/>
            <w:vAlign w:val="center"/>
          </w:tcPr>
          <w:p w:rsidR="007D4A93" w:rsidRPr="00654E3B" w:rsidRDefault="00EF0BEB">
            <w:pPr>
              <w:spacing w:line="240" w:lineRule="auto"/>
              <w:jc w:val="left"/>
              <w:rPr>
                <w:rFonts w:cs="Times New Roman"/>
                <w:sz w:val="20"/>
              </w:rPr>
            </w:pPr>
            <w:r w:rsidRPr="00654E3B">
              <w:rPr>
                <w:rFonts w:cs="Times New Roman"/>
                <w:sz w:val="20"/>
              </w:rPr>
              <w:t>Korištenje bioplina za proizvodnju biometana, električne energije i topline</w:t>
            </w:r>
          </w:p>
        </w:tc>
        <w:tc>
          <w:tcPr>
            <w:tcW w:w="9217" w:type="dxa"/>
            <w:vAlign w:val="center"/>
          </w:tcPr>
          <w:p w:rsidR="007D4A93" w:rsidRPr="00654E3B" w:rsidRDefault="00EF0BEB">
            <w:pPr>
              <w:spacing w:line="240" w:lineRule="auto"/>
              <w:rPr>
                <w:rFonts w:cs="Times New Roman"/>
                <w:sz w:val="20"/>
              </w:rPr>
            </w:pPr>
            <w:r w:rsidRPr="00654E3B">
              <w:rPr>
                <w:rFonts w:cs="Times New Roman"/>
                <w:sz w:val="20"/>
              </w:rPr>
              <w:t xml:space="preserve">Mjera je povezana s mjerom poticanja korištenja obnovljivih izvora energije za proizvodnju električne energije i topline te obveze korištenja obnovljivih izvora energije u prometu, a odnosi se na obvezno korištenje biootpada kao supstrata u bioplinskom postrojenju koja proizvode bioplin koji će se koristiti za proizvodnju biometana, električne energije i topline. </w:t>
            </w:r>
          </w:p>
          <w:p w:rsidR="007D4A93" w:rsidRPr="00654E3B" w:rsidRDefault="00EF0BEB">
            <w:pPr>
              <w:spacing w:line="240" w:lineRule="auto"/>
              <w:rPr>
                <w:rFonts w:cs="Times New Roman"/>
                <w:sz w:val="20"/>
              </w:rPr>
            </w:pPr>
            <w:r w:rsidRPr="00654E3B">
              <w:rPr>
                <w:rFonts w:cs="Times New Roman"/>
                <w:sz w:val="20"/>
              </w:rPr>
              <w:t>Potencijal smanjenja emisije CH</w:t>
            </w:r>
            <w:r w:rsidRPr="00654E3B">
              <w:rPr>
                <w:rFonts w:cs="Times New Roman"/>
                <w:sz w:val="20"/>
                <w:vertAlign w:val="subscript"/>
              </w:rPr>
              <w:t>4</w:t>
            </w:r>
            <w:r w:rsidRPr="00654E3B">
              <w:rPr>
                <w:rFonts w:cs="Times New Roman"/>
                <w:sz w:val="20"/>
              </w:rPr>
              <w:t xml:space="preserve"> (nastalog anaerobnom razgradnjom biorazgradive frakcije otpada) uključen je u mjeru Smanjenje količine odloženog biorazgradivog otpada. Potencijal smanjenja emisije CO</w:t>
            </w:r>
            <w:r w:rsidRPr="00654E3B">
              <w:rPr>
                <w:rFonts w:cs="Times New Roman"/>
                <w:sz w:val="20"/>
                <w:vertAlign w:val="subscript"/>
              </w:rPr>
              <w:t>2</w:t>
            </w:r>
            <w:r w:rsidRPr="00654E3B">
              <w:rPr>
                <w:rFonts w:cs="Times New Roman"/>
                <w:sz w:val="20"/>
              </w:rPr>
              <w:t xml:space="preserve"> koji se može ostvariti primjenom ove mjere bilancira se u sektoru energetika.</w:t>
            </w:r>
          </w:p>
        </w:tc>
      </w:tr>
      <w:tr w:rsidR="007D4A93" w:rsidRPr="00654E3B">
        <w:trPr>
          <w:trHeight w:val="340"/>
        </w:trPr>
        <w:tc>
          <w:tcPr>
            <w:tcW w:w="13178" w:type="dxa"/>
            <w:gridSpan w:val="3"/>
            <w:vAlign w:val="center"/>
          </w:tcPr>
          <w:p w:rsidR="007D4A93" w:rsidRPr="00654E3B" w:rsidRDefault="00EF0BEB">
            <w:pPr>
              <w:spacing w:line="240" w:lineRule="auto"/>
              <w:rPr>
                <w:rFonts w:cs="Times New Roman"/>
                <w:b/>
                <w:sz w:val="20"/>
              </w:rPr>
            </w:pPr>
            <w:r w:rsidRPr="00654E3B">
              <w:rPr>
                <w:rFonts w:cs="Times New Roman"/>
                <w:b/>
                <w:sz w:val="20"/>
              </w:rPr>
              <w:lastRenderedPageBreak/>
              <w:t xml:space="preserve">KORIŠTENJE ZEMLJIŠTA, PRENAMJENA ZEMLJIŠTA I ŠUMARSTVO (LULUCF) </w:t>
            </w:r>
          </w:p>
          <w:p w:rsidR="007D4A93" w:rsidRPr="00654E3B" w:rsidRDefault="00EF0BEB">
            <w:pPr>
              <w:spacing w:line="240" w:lineRule="auto"/>
              <w:rPr>
                <w:rFonts w:cs="Times New Roman"/>
                <w:b/>
                <w:sz w:val="20"/>
              </w:rPr>
            </w:pPr>
            <w:r w:rsidRPr="00654E3B">
              <w:rPr>
                <w:rFonts w:cs="Times New Roman"/>
                <w:b/>
                <w:sz w:val="20"/>
              </w:rPr>
              <w:t>TE POVEZANE AKTIVNOSTI</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MLF-1</w:t>
            </w:r>
          </w:p>
        </w:tc>
        <w:tc>
          <w:tcPr>
            <w:tcW w:w="2832" w:type="dxa"/>
            <w:vAlign w:val="center"/>
          </w:tcPr>
          <w:p w:rsidR="007D4A93" w:rsidRPr="00654E3B" w:rsidRDefault="00E134FB">
            <w:pPr>
              <w:spacing w:line="240" w:lineRule="auto"/>
              <w:jc w:val="left"/>
              <w:rPr>
                <w:rFonts w:eastAsia="Times New Roman" w:cs="Times New Roman"/>
                <w:sz w:val="20"/>
                <w:lang w:eastAsia="hr-HR"/>
              </w:rPr>
            </w:pPr>
            <w:r w:rsidRPr="00654E3B">
              <w:rPr>
                <w:rFonts w:eastAsia="Times New Roman" w:cs="Times New Roman"/>
                <w:sz w:val="20"/>
                <w:lang w:eastAsia="hr-HR"/>
              </w:rPr>
              <w:t>Unapređenje sustava</w:t>
            </w:r>
            <w:r w:rsidR="00EF0BEB" w:rsidRPr="00654E3B">
              <w:rPr>
                <w:rFonts w:eastAsia="Times New Roman" w:cs="Times New Roman"/>
                <w:sz w:val="20"/>
                <w:lang w:eastAsia="hr-HR"/>
              </w:rPr>
              <w:t xml:space="preserve"> upravljanja zemljištem Republike Hrvatske</w:t>
            </w:r>
          </w:p>
        </w:tc>
        <w:tc>
          <w:tcPr>
            <w:tcW w:w="9217" w:type="dxa"/>
            <w:vAlign w:val="center"/>
          </w:tcPr>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Do 2027. godine potrebno je </w:t>
            </w:r>
            <w:r w:rsidR="00E134FB" w:rsidRPr="00654E3B">
              <w:rPr>
                <w:rFonts w:eastAsia="Times New Roman" w:cs="Times New Roman"/>
                <w:sz w:val="20"/>
                <w:lang w:eastAsia="hr-HR"/>
              </w:rPr>
              <w:t xml:space="preserve"> unaprijediti sustav</w:t>
            </w:r>
            <w:r w:rsidRPr="00654E3B">
              <w:rPr>
                <w:rFonts w:eastAsia="Times New Roman" w:cs="Times New Roman"/>
                <w:sz w:val="20"/>
                <w:lang w:eastAsia="hr-HR"/>
              </w:rPr>
              <w:t xml:space="preserve"> upravljanja zemljištem RH. </w:t>
            </w:r>
            <w:r w:rsidR="00270818" w:rsidRPr="00654E3B">
              <w:rPr>
                <w:rFonts w:eastAsia="Times New Roman" w:cs="Times New Roman"/>
                <w:sz w:val="20"/>
                <w:lang w:eastAsia="hr-HR"/>
              </w:rPr>
              <w:t>U</w:t>
            </w:r>
            <w:r w:rsidR="00E134FB" w:rsidRPr="00654E3B">
              <w:rPr>
                <w:rFonts w:eastAsia="Times New Roman" w:cs="Times New Roman"/>
                <w:sz w:val="20"/>
                <w:lang w:eastAsia="hr-HR"/>
              </w:rPr>
              <w:t xml:space="preserve"> tom pogledu potrebne su slijedeće aktivnosti:</w:t>
            </w:r>
          </w:p>
          <w:p w:rsidR="007D4A93" w:rsidRPr="00654E3B" w:rsidRDefault="00E134FB" w:rsidP="000C6795">
            <w:pPr>
              <w:numPr>
                <w:ilvl w:val="0"/>
                <w:numId w:val="58"/>
              </w:numPr>
              <w:spacing w:line="240" w:lineRule="auto"/>
              <w:rPr>
                <w:rFonts w:eastAsia="Times New Roman" w:cs="Times New Roman"/>
                <w:sz w:val="20"/>
                <w:lang w:eastAsia="hr-HR"/>
              </w:rPr>
            </w:pPr>
            <w:r w:rsidRPr="00654E3B">
              <w:rPr>
                <w:rFonts w:eastAsia="Times New Roman" w:cs="Times New Roman"/>
                <w:sz w:val="20"/>
                <w:lang w:eastAsia="hr-HR"/>
              </w:rPr>
              <w:t xml:space="preserve">Uspostava jedinstvenog informacijskog </w:t>
            </w:r>
            <w:r w:rsidR="00EF0BEB" w:rsidRPr="00654E3B">
              <w:rPr>
                <w:rFonts w:eastAsia="Times New Roman" w:cs="Times New Roman"/>
                <w:sz w:val="20"/>
                <w:lang w:eastAsia="hr-HR"/>
              </w:rPr>
              <w:t>sustav</w:t>
            </w:r>
            <w:r w:rsidRPr="00654E3B">
              <w:rPr>
                <w:rFonts w:eastAsia="Times New Roman" w:cs="Times New Roman"/>
                <w:sz w:val="20"/>
                <w:lang w:eastAsia="hr-HR"/>
              </w:rPr>
              <w:t>a</w:t>
            </w:r>
            <w:r w:rsidR="00EF0BEB" w:rsidRPr="00654E3B">
              <w:rPr>
                <w:rFonts w:eastAsia="Times New Roman" w:cs="Times New Roman"/>
                <w:sz w:val="20"/>
                <w:lang w:eastAsia="hr-HR"/>
              </w:rPr>
              <w:t xml:space="preserve"> zemljišta u Republici Hrvatskoj ili utvrditi površine pojedine LULUCF kategorije zemljišta upotrebom prostorno točno utvrđenih podataka, za svaku kategoriju zemljišta te za svaku vrste prenamjene zemljišta iz jedne kategorije zemljišta u drugu </w:t>
            </w:r>
          </w:p>
          <w:p w:rsidR="007D4A93" w:rsidRPr="00654E3B" w:rsidRDefault="00270818" w:rsidP="000C6795">
            <w:pPr>
              <w:numPr>
                <w:ilvl w:val="0"/>
                <w:numId w:val="58"/>
              </w:numPr>
              <w:spacing w:line="240" w:lineRule="auto"/>
              <w:rPr>
                <w:rFonts w:eastAsia="Times New Roman" w:cs="Times New Roman"/>
                <w:sz w:val="20"/>
                <w:lang w:eastAsia="hr-HR"/>
              </w:rPr>
            </w:pPr>
            <w:r w:rsidRPr="00654E3B">
              <w:rPr>
                <w:rFonts w:eastAsia="Times New Roman" w:cs="Times New Roman"/>
                <w:sz w:val="20"/>
                <w:lang w:eastAsia="hr-HR"/>
              </w:rPr>
              <w:t>Provedba</w:t>
            </w:r>
            <w:r w:rsidR="00E134FB" w:rsidRPr="00654E3B">
              <w:rPr>
                <w:rFonts w:eastAsia="Times New Roman" w:cs="Times New Roman"/>
                <w:sz w:val="20"/>
                <w:lang w:eastAsia="hr-HR"/>
              </w:rPr>
              <w:t xml:space="preserve"> </w:t>
            </w:r>
            <w:r w:rsidR="00EF0BEB" w:rsidRPr="00654E3B">
              <w:rPr>
                <w:rFonts w:eastAsia="Times New Roman" w:cs="Times New Roman"/>
                <w:sz w:val="20"/>
                <w:lang w:eastAsia="hr-HR"/>
              </w:rPr>
              <w:t>analiza svih LULUCF kategorija zemljišta u ovisnosti o pokrovu, uporabi zemljišta te praksama gospodarenja koje se na svakom zemljištu koriste i s time povezanim emisijama/ponorima radi razmatranja potencijala svakog od pohraništa unutar svake LULUCF kategorije zemljišta za smanjenje emisija i povećanje ponora stakleničkih plinova</w:t>
            </w:r>
          </w:p>
          <w:p w:rsidR="007D4A93" w:rsidRPr="00654E3B" w:rsidRDefault="00E134FB" w:rsidP="000C6795">
            <w:pPr>
              <w:numPr>
                <w:ilvl w:val="0"/>
                <w:numId w:val="58"/>
              </w:numPr>
              <w:spacing w:line="240" w:lineRule="auto"/>
              <w:rPr>
                <w:rFonts w:eastAsia="Times New Roman" w:cs="Times New Roman"/>
                <w:sz w:val="20"/>
                <w:lang w:eastAsia="hr-HR"/>
              </w:rPr>
            </w:pPr>
            <w:r w:rsidRPr="00654E3B">
              <w:rPr>
                <w:rFonts w:eastAsia="Times New Roman" w:cs="Times New Roman"/>
                <w:sz w:val="20"/>
                <w:lang w:eastAsia="hr-HR"/>
              </w:rPr>
              <w:t xml:space="preserve">Izrada </w:t>
            </w:r>
            <w:r w:rsidR="00EF0BEB" w:rsidRPr="00654E3B">
              <w:rPr>
                <w:rFonts w:eastAsia="Times New Roman" w:cs="Times New Roman"/>
                <w:sz w:val="20"/>
                <w:lang w:eastAsia="hr-HR"/>
              </w:rPr>
              <w:t>detaljne projekcije razvoja budućih emisija/</w:t>
            </w:r>
            <w:r w:rsidR="00BF4CA8" w:rsidRPr="00654E3B">
              <w:rPr>
                <w:rFonts w:eastAsia="Times New Roman" w:cs="Times New Roman"/>
                <w:sz w:val="20"/>
                <w:lang w:eastAsia="hr-HR"/>
              </w:rPr>
              <w:t>ponora</w:t>
            </w:r>
            <w:r w:rsidR="00EF0BEB" w:rsidRPr="00654E3B">
              <w:rPr>
                <w:rFonts w:eastAsia="Times New Roman" w:cs="Times New Roman"/>
                <w:sz w:val="20"/>
                <w:lang w:eastAsia="hr-HR"/>
              </w:rPr>
              <w:t xml:space="preserve"> u LULUCF sektoru po provedbi više navedene analize </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 xml:space="preserve">Izračun emisija/ponora u LULUCF sektoru, te navedeni projekti trebaju činiti osnovu za planiranje pokrova, uporabe i načina gospodarenja LULUCF kategorijama zemljišta za svako od pohraništa radi razvoja </w:t>
            </w:r>
            <w:r w:rsidR="00E56BCD" w:rsidRPr="00654E3B">
              <w:rPr>
                <w:rFonts w:eastAsia="Times New Roman" w:cs="Times New Roman"/>
                <w:sz w:val="20"/>
                <w:lang w:eastAsia="hr-HR"/>
              </w:rPr>
              <w:t xml:space="preserve">sustava </w:t>
            </w:r>
            <w:r w:rsidRPr="00654E3B">
              <w:rPr>
                <w:rFonts w:eastAsia="Times New Roman" w:cs="Times New Roman"/>
                <w:sz w:val="20"/>
                <w:lang w:eastAsia="hr-HR"/>
              </w:rPr>
              <w:t>upravljanja zemljištem te kako bi se pravilno definirale mjere koje će se na pojedinoj kategoriji zemljišta provoditi, a kojima će se smanjivati emisije i povećavati ponore stakleničkih plinova u RH. Unaprjeđenje i definiranje mjera zaštite šuma od požara treba činiti sastavni dio ove strategije.</w:t>
            </w:r>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Birati tehnologije i načine izvođenja (OIE, golf igrališta i slično) koje omogućuju nakon korištenja povrat zemljišta osnovnoj poljoprivrednoj ili šumskoj namjeni, te gdje god je to moguće koristiti institut ,,nepotpunog izvlaštenja tj. prava služnosti“.</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MLF-2</w:t>
            </w:r>
          </w:p>
        </w:tc>
        <w:tc>
          <w:tcPr>
            <w:tcW w:w="2832" w:type="dxa"/>
            <w:vAlign w:val="center"/>
          </w:tcPr>
          <w:p w:rsidR="007D4A93" w:rsidRPr="00654E3B" w:rsidRDefault="00EF0BEB">
            <w:pPr>
              <w:spacing w:line="240" w:lineRule="auto"/>
              <w:jc w:val="left"/>
              <w:rPr>
                <w:rFonts w:eastAsia="Times New Roman" w:cs="Times New Roman"/>
                <w:b/>
                <w:bCs/>
                <w:sz w:val="20"/>
                <w:lang w:eastAsia="hr-HR"/>
              </w:rPr>
            </w:pPr>
            <w:r w:rsidRPr="00654E3B">
              <w:rPr>
                <w:rFonts w:eastAsia="Times New Roman" w:cs="Times New Roman"/>
                <w:sz w:val="20"/>
                <w:lang w:eastAsia="hr-HR"/>
              </w:rPr>
              <w:t>Akumulacija ugljika na površinama postojećih šuma</w:t>
            </w:r>
          </w:p>
        </w:tc>
        <w:tc>
          <w:tcPr>
            <w:tcW w:w="9217" w:type="dxa"/>
            <w:vAlign w:val="center"/>
          </w:tcPr>
          <w:p w:rsidR="007D4A93" w:rsidRPr="00654E3B" w:rsidRDefault="00EF0BEB" w:rsidP="00EF0BEB">
            <w:pPr>
              <w:spacing w:line="240" w:lineRule="auto"/>
              <w:rPr>
                <w:rFonts w:eastAsia="Times New Roman" w:cs="Times New Roman"/>
                <w:b/>
                <w:bCs/>
                <w:sz w:val="20"/>
                <w:lang w:eastAsia="hr-HR"/>
              </w:rPr>
            </w:pPr>
            <w:r w:rsidRPr="00654E3B">
              <w:rPr>
                <w:rFonts w:eastAsia="Times New Roman" w:cs="Times New Roman"/>
                <w:sz w:val="20"/>
                <w:lang w:eastAsia="hr-HR"/>
              </w:rPr>
              <w:t xml:space="preserve">Provedba aktivnosti kojima se doprinosi povećanju sadržaja zalihe ugljika u šumama posebice u pohraništu biomase i provedbom kojih se osiguravaju uklanjanja u pojedinom razdoblju većima od onih definiranih referentnom razinom za šume (FRL). Ove aktivnosti su npr. obnova šuma, prevođenje sastojina u viši uzgojni oblik, odabir vrsta za popunjavanje i dr. Održavanjem ponora većeg od onoga definiranog po FRL-u osigurava se i povećanje emisijskih jedinica koje je moguće prenijeti u sektore izvan ETS-a. Održavanjem ponora većeg od onoga definiranog po FRL-u osigurava se i korištenje fleksibilnih mehanizama. U daljnjem razdoblju potrebna je ocjena učinkovitosti provedenih mjera i aktivnosti iz Programa ruralnog razvoja Republike Hrvatske za razdoblje 2014. – 2020. na smanjenje/zadržavanje emisija i povećanje/zadržavanje ponora stakleničkih plinova i izrada novih smjernica za daljnje gospodarenje u šumarskom i poljoprivrednom sektoru uz primjenu mjera za ublaženje </w:t>
            </w:r>
            <w:r w:rsidRPr="00654E3B">
              <w:rPr>
                <w:rFonts w:eastAsia="Times New Roman" w:cs="Times New Roman"/>
                <w:sz w:val="20"/>
                <w:lang w:eastAsia="hr-HR"/>
              </w:rPr>
              <w:lastRenderedPageBreak/>
              <w:t>i prilagodbu na klimatske promjene. Potrebno je promovirati gospodarenje kategorijama zemljišta koje su korisne za klimu i okoliš, te izraditi smjernice daljnjeg razvoja temeljem znanja i iskustava stečenih provedbom ove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MLF-3</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Provedba radova pošumljavanja i radova sanacije opožarenih površina</w:t>
            </w:r>
          </w:p>
        </w:tc>
        <w:tc>
          <w:tcPr>
            <w:tcW w:w="9217" w:type="dxa"/>
            <w:vAlign w:val="center"/>
          </w:tcPr>
          <w:p w:rsidR="007D4A93" w:rsidRPr="00654E3B" w:rsidRDefault="00EF0BEB">
            <w:pPr>
              <w:spacing w:line="240" w:lineRule="auto"/>
              <w:rPr>
                <w:rFonts w:eastAsia="Times New Roman" w:cs="Times New Roman"/>
                <w:sz w:val="20"/>
                <w:lang w:eastAsia="hr-HR"/>
              </w:rPr>
            </w:pPr>
            <w:bookmarkStart w:id="388" w:name="_Hlk37925195"/>
            <w:r w:rsidRPr="00654E3B">
              <w:rPr>
                <w:rFonts w:eastAsia="Times New Roman" w:cs="Times New Roman"/>
                <w:sz w:val="20"/>
                <w:lang w:eastAsia="hr-HR"/>
              </w:rPr>
              <w:t xml:space="preserve">Pošumljavanje na površinama koje nisu šumske (u smislu IPCC metodologije), predstavlja aktivnost koja generira ponore. Republika Hrvatska zbog propisa iz područja zaštite prirode kojima se osigurava očuvanje prirodnih stanišnih tipova od interesa za Europsku uniju na cijelom svom teritoriju, nije u mogućnosti raspolagati svim površinama travnjaka (prema nacionalnom propisu: neobraslog proizvodnog šumskog zemljišta) za potrebe pošumljavanja. S obzirom da u Republici Hrvatskoj postoje poljoprivredne površine na kojima se ne odvija proizvodnja i koje su dugi niz godina zapuštene, prilikom </w:t>
            </w:r>
            <w:r w:rsidR="00E56BCD" w:rsidRPr="00654E3B">
              <w:rPr>
                <w:rFonts w:eastAsia="Times New Roman" w:cs="Times New Roman"/>
                <w:sz w:val="20"/>
                <w:lang w:eastAsia="hr-HR"/>
              </w:rPr>
              <w:t xml:space="preserve">unapređenja sustava </w:t>
            </w:r>
            <w:r w:rsidRPr="00654E3B">
              <w:rPr>
                <w:rFonts w:eastAsia="Times New Roman" w:cs="Times New Roman"/>
                <w:sz w:val="20"/>
                <w:lang w:eastAsia="hr-HR"/>
              </w:rPr>
              <w:t>upravljanja zemljištem problem ovih površina mora biti odgovarajuće adresiran. Potrebno je ocijeniti opravdanost prenamjene ovih površina u šumske površine provedbom pošumljavanja. Ovdje treba uzeti u obzir da prilikom obračunavanja ponora na prenamijenjenim površinama zbog pošumljavanja ne postoji ograničenje u primjeni količine ponora, te da se ovi ponori uzimaju u potpunosti u obzir kod obračunavanja. Potreba je i ocjena učinaka pošumljavanja dodatnog neobraslog, proizvodnog šumskog zemljišta na ispunjavanje obaveza Republike Hrvatske povezanih s korištenjem obnovljivih izvora energije. Potrebno je izraditi smjernice daljnjeg razvoja temeljem znanja i iskustava stečenih provedbom aktivnosti pošumljavanja. U slučaju uvođenja mjere pošumljavanja na zapuštenom poljoprivrednom zemljištu, mjera će zahtijevati jačanje sjemenarstva i rasadničarske službe u šumarskom sektoru i uzgoj sadnog materijala potrebnog za provedbu ovih radova.</w:t>
            </w:r>
            <w:bookmarkEnd w:id="388"/>
          </w:p>
          <w:p w:rsidR="007D4A93" w:rsidRPr="00654E3B" w:rsidRDefault="00EF0BEB">
            <w:pPr>
              <w:spacing w:line="240" w:lineRule="auto"/>
              <w:rPr>
                <w:rFonts w:eastAsia="Times New Roman" w:cs="Times New Roman"/>
                <w:sz w:val="20"/>
                <w:lang w:eastAsia="hr-HR"/>
              </w:rPr>
            </w:pPr>
            <w:r w:rsidRPr="00654E3B">
              <w:rPr>
                <w:rFonts w:eastAsia="Times New Roman" w:cs="Times New Roman"/>
                <w:sz w:val="20"/>
                <w:lang w:eastAsia="hr-HR"/>
              </w:rPr>
              <w:t>Očekivanim porastom temperature i povećanim izgledima za suše uslijed promjene klime broj požara i opožarenih površina će rasti. Potrebno je izraditi detaljne smjernice i osigurati sredstva (EU fondovi, Naknada za OKFŠ) za provedbu sanacije opožarenih površina te provedbu radova čišćenja i proreda u šumama na krškom području kao uzgojne mjere s protupožarnim učinkom. Provoditi znanstvena istraživanja u cilju  utvrđivanja najboljih metoda pošumljavanja uzimajući u obzir specifičnosti terena na kojem se pošumljavanje provodi, s posebnim naglaskom na odabir vrsta pošumljavanja.</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MLF-4</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Proizvodnja i uporaba drva i drvnih proizvoda </w:t>
            </w:r>
          </w:p>
        </w:tc>
        <w:tc>
          <w:tcPr>
            <w:tcW w:w="9217" w:type="dxa"/>
            <w:vAlign w:val="center"/>
          </w:tcPr>
          <w:p w:rsidR="007D4A93" w:rsidRPr="00654E3B" w:rsidRDefault="00EF0BEB" w:rsidP="00EF0BEB">
            <w:pPr>
              <w:spacing w:line="240" w:lineRule="auto"/>
              <w:rPr>
                <w:rFonts w:eastAsia="Times New Roman" w:cs="Times New Roman"/>
                <w:sz w:val="20"/>
                <w:lang w:eastAsia="hr-HR"/>
              </w:rPr>
            </w:pPr>
            <w:r w:rsidRPr="00654E3B">
              <w:rPr>
                <w:rFonts w:eastAsia="Times New Roman" w:cs="Times New Roman"/>
                <w:sz w:val="20"/>
                <w:lang w:eastAsia="hr-HR"/>
              </w:rPr>
              <w:t xml:space="preserve">Harmonizacijom dostupnih podataka i statističkih izvješća, te novim istraživanjima usuglasiti informacije kojima se raspolaže za potrebe različitih izvještavanja prema međunarodnim organizacijama u cilju što točnijeg, transparentnijeg i kvalitetnog izvješćivanja, ali i stvaranja harmoniziranih podloga za donošenje srednjoročnih i dugoročnih strategija u šumarskom i drvoprerađivačkom sektoru. Podrazumijeva se mapiranje šumarske i drvne industrijske proizvodnje. Poticati korištenje drvnih proizvoda u tradicionalnim i novim proizvodima u cilju povećavanja ponora i smanjenja emisija stakleničkih plinova u pohraništu drvnih proizvoda. Navedeno zahtjeva i regulacija izvoza neobrađenog i poluobrađenog drva što potiče razvoj domaće drvne industrije, a regulacija izvoza energetskog drva povećava udio proizvodnje energije iz obnovljivih izvora čime se ispunjavaju preuzete međunarodne obveze. Potrebno je promovirati aktivnosti kojima se generiraju ponori te koje osiguravaju da se drvni proizvodi i drvo za energetske svrhe koriste na načine koji doprinose ispunjavanju oba cilja EU do 2030. godine (smanjenju emisija i povećanju udjela obnovljivih izvora u ukupnoj potrošnji energije) te su korisne za </w:t>
            </w:r>
            <w:r w:rsidRPr="00654E3B">
              <w:rPr>
                <w:rFonts w:eastAsia="Times New Roman" w:cs="Times New Roman"/>
                <w:sz w:val="20"/>
                <w:lang w:eastAsia="hr-HR"/>
              </w:rPr>
              <w:lastRenderedPageBreak/>
              <w:t>klimu i okoliš. Potrebno je izraditi smjernice daljnjeg razvoja temeljem znanja i iskustava stečenih provedbom ove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lastRenderedPageBreak/>
              <w:t>MLF-5</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Gospodarenje poljoprivrednim zemljištem</w:t>
            </w:r>
          </w:p>
        </w:tc>
        <w:tc>
          <w:tcPr>
            <w:tcW w:w="9217" w:type="dxa"/>
            <w:vAlign w:val="center"/>
          </w:tcPr>
          <w:p w:rsidR="007D4A93" w:rsidRPr="00654E3B" w:rsidRDefault="00EF0BEB" w:rsidP="0065066D">
            <w:pPr>
              <w:spacing w:line="240" w:lineRule="auto"/>
              <w:rPr>
                <w:rFonts w:eastAsia="Times New Roman" w:cs="Times New Roman"/>
                <w:sz w:val="20"/>
                <w:lang w:eastAsia="hr-HR"/>
              </w:rPr>
            </w:pPr>
            <w:r w:rsidRPr="00654E3B">
              <w:rPr>
                <w:rFonts w:eastAsia="Times New Roman" w:cs="Times New Roman"/>
                <w:sz w:val="20"/>
                <w:lang w:eastAsia="hr-HR"/>
              </w:rPr>
              <w:t>Provedbom aktivnosti u gospodarenju površinama za poljoprivrednu proizvodnju na način koji doprinosi smanjenju emisijskog faktora od interesa je za  obiteljska poljoprivredna gospodarstava</w:t>
            </w:r>
            <w:r w:rsidR="0065066D" w:rsidRPr="00654E3B">
              <w:rPr>
                <w:rFonts w:eastAsia="Times New Roman" w:cs="Times New Roman"/>
                <w:sz w:val="20"/>
                <w:lang w:eastAsia="hr-HR"/>
              </w:rPr>
              <w:t>.</w:t>
            </w:r>
            <w:r w:rsidRPr="00654E3B">
              <w:rPr>
                <w:rFonts w:eastAsia="Times New Roman" w:cs="Times New Roman"/>
                <w:sz w:val="20"/>
                <w:lang w:eastAsia="hr-HR"/>
              </w:rPr>
              <w:t>. Prakse gospodarenja ovim površinama koje mogu imati utjecaja na emisije i ponore u primjerice u pohraništu tla su: načini obrade tla, životni vijek nasada/usjeva (rotacijsko razdoblje) i tip usjeva/nasada, primjena gnojiva, gospodarenje ostacima, kontrola erozije, primjena sustava navodnjavanja i dr.). Potrebno je promovirati aktivnosti na način koristan za klimu i okoliš, te izraditi smjernice daljnjeg razvoja temeljem znanja i iskustava stečenih provedbom ove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MLF-6</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Gospodarenje pašnjacima</w:t>
            </w:r>
          </w:p>
        </w:tc>
        <w:tc>
          <w:tcPr>
            <w:tcW w:w="9217" w:type="dxa"/>
            <w:vAlign w:val="center"/>
          </w:tcPr>
          <w:p w:rsidR="007D4A93" w:rsidRPr="00654E3B" w:rsidRDefault="00EF0BEB" w:rsidP="0065066D">
            <w:pPr>
              <w:spacing w:line="240" w:lineRule="auto"/>
              <w:rPr>
                <w:rFonts w:eastAsia="Times New Roman" w:cs="Times New Roman"/>
                <w:sz w:val="20"/>
                <w:lang w:eastAsia="hr-HR"/>
              </w:rPr>
            </w:pPr>
            <w:r w:rsidRPr="00654E3B">
              <w:rPr>
                <w:rFonts w:eastAsia="Times New Roman" w:cs="Times New Roman"/>
                <w:sz w:val="20"/>
                <w:lang w:eastAsia="hr-HR"/>
              </w:rPr>
              <w:t>Provedbom aktivnosti u gospodarenju pašnjacima na način koji doprinosi smanjenju emisijskog faktora od interesa je za  obiteljska poljoprivredna gospodarstva Potrebno je promovirati aktivnosti na način koristan za klimu i okoliš, te izraditi smjernice daljnjeg razvoja temeljem znanja i iskustava stečenih provedbom ove mjere.</w:t>
            </w:r>
          </w:p>
        </w:tc>
      </w:tr>
      <w:tr w:rsidR="007D4A93" w:rsidRPr="00654E3B">
        <w:trPr>
          <w:trHeight w:val="340"/>
        </w:trPr>
        <w:tc>
          <w:tcPr>
            <w:tcW w:w="1129" w:type="dxa"/>
            <w:vAlign w:val="center"/>
          </w:tcPr>
          <w:p w:rsidR="007D4A93" w:rsidRPr="00654E3B" w:rsidRDefault="00EF0BEB">
            <w:pPr>
              <w:spacing w:line="240" w:lineRule="auto"/>
              <w:jc w:val="left"/>
              <w:rPr>
                <w:rFonts w:eastAsia="Times New Roman" w:cs="Times New Roman"/>
                <w:sz w:val="20"/>
                <w:lang w:eastAsia="hr-HR"/>
              </w:rPr>
            </w:pPr>
            <w:r w:rsidRPr="00654E3B">
              <w:rPr>
                <w:rFonts w:cs="Times New Roman"/>
                <w:sz w:val="20"/>
              </w:rPr>
              <w:t>MLF-7</w:t>
            </w:r>
          </w:p>
        </w:tc>
        <w:tc>
          <w:tcPr>
            <w:tcW w:w="2832" w:type="dxa"/>
            <w:vAlign w:val="center"/>
          </w:tcPr>
          <w:p w:rsidR="007D4A93" w:rsidRPr="00654E3B" w:rsidRDefault="00EF0BEB">
            <w:pPr>
              <w:spacing w:line="240" w:lineRule="auto"/>
              <w:jc w:val="left"/>
              <w:rPr>
                <w:rFonts w:eastAsia="Times New Roman" w:cs="Times New Roman"/>
                <w:sz w:val="20"/>
                <w:lang w:eastAsia="hr-HR"/>
              </w:rPr>
            </w:pPr>
            <w:r w:rsidRPr="00654E3B">
              <w:rPr>
                <w:rFonts w:eastAsia="Times New Roman" w:cs="Times New Roman"/>
                <w:sz w:val="20"/>
                <w:lang w:eastAsia="hr-HR"/>
              </w:rPr>
              <w:t xml:space="preserve">Provedba tehničkih projekata i znanstvenih istraživanja u LULUCF sektoru </w:t>
            </w:r>
          </w:p>
        </w:tc>
        <w:tc>
          <w:tcPr>
            <w:tcW w:w="9217" w:type="dxa"/>
            <w:vAlign w:val="center"/>
          </w:tcPr>
          <w:p w:rsidR="007D4A93" w:rsidRPr="00654E3B" w:rsidRDefault="00EF0BEB" w:rsidP="00EF0BEB">
            <w:pPr>
              <w:spacing w:line="240" w:lineRule="auto"/>
              <w:rPr>
                <w:rFonts w:eastAsia="Times New Roman" w:cs="Times New Roman"/>
                <w:sz w:val="20"/>
                <w:lang w:eastAsia="hr-HR"/>
              </w:rPr>
            </w:pPr>
            <w:r w:rsidRPr="00654E3B">
              <w:rPr>
                <w:rFonts w:eastAsia="Times New Roman" w:cs="Times New Roman"/>
                <w:sz w:val="20"/>
                <w:lang w:eastAsia="hr-HR"/>
              </w:rPr>
              <w:t xml:space="preserve">U razdoblju do 2030. i 2050. godinu nužno je osigurati financijska sredstva za provedbu tehničkih i znanstvenih projekata u LULUCF sektoru. Znanstvenim projektima treba se omogućiti razvoj različitih modela za potrebe prelaska na višu razinu IPCC metodologije (Tier 3) s ciljem što točnijeg utvrđivanja emisija/ponora stakleničkih plinova i posljedično planiranja mjera za smanjenje emisija i povećanje ponora. </w:t>
            </w:r>
          </w:p>
        </w:tc>
      </w:tr>
    </w:tbl>
    <w:p w:rsidR="007D4A93" w:rsidRPr="00654E3B" w:rsidRDefault="007D4A93">
      <w:pPr>
        <w:pStyle w:val="Naslov2"/>
        <w:ind w:left="0"/>
      </w:pPr>
      <w:bookmarkStart w:id="389" w:name="_Toc23768208"/>
      <w:bookmarkEnd w:id="389"/>
    </w:p>
    <w:sectPr w:rsidR="007D4A93" w:rsidRPr="00654E3B">
      <w:pgSz w:w="16838" w:h="11906" w:orient="landscape"/>
      <w:pgMar w:top="1418" w:right="1418" w:bottom="1418" w:left="1701" w:header="624"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3F7" w:rsidRDefault="00CF43F7">
      <w:pPr>
        <w:spacing w:after="0" w:line="240" w:lineRule="auto"/>
      </w:pPr>
      <w:r>
        <w:separator/>
      </w:r>
    </w:p>
    <w:p w:rsidR="00CF43F7" w:rsidRDefault="00CF43F7"/>
  </w:endnote>
  <w:endnote w:type="continuationSeparator" w:id="0">
    <w:p w:rsidR="00CF43F7" w:rsidRDefault="00CF43F7">
      <w:pPr>
        <w:spacing w:after="0" w:line="240" w:lineRule="auto"/>
      </w:pPr>
      <w:r>
        <w:continuationSeparator/>
      </w:r>
    </w:p>
    <w:p w:rsidR="00CF43F7" w:rsidRDefault="00CF43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EE"/>
    <w:family w:val="roman"/>
    <w:notTrueType/>
    <w:pitch w:val="default"/>
    <w:sig w:usb0="00000007" w:usb1="00000000" w:usb2="00000000" w:usb3="00000000" w:csb0="00000003" w:csb1="00000000"/>
  </w:font>
  <w:font w:name="Minion Pro Cond">
    <w:panose1 w:val="00000000000000000000"/>
    <w:charset w:val="00"/>
    <w:family w:val="roman"/>
    <w:notTrueType/>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GarmdITC Bk BT">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NewBskvll BT">
    <w:panose1 w:val="00000000000000000000"/>
    <w:charset w:val="00"/>
    <w:family w:val="roman"/>
    <w:notTrueType/>
    <w:pitch w:val="default"/>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3F" w:rsidRDefault="006F1C3F">
    <w:pPr>
      <w:pStyle w:val="Footer"/>
      <w:jc w:val="right"/>
    </w:pPr>
  </w:p>
  <w:p w:rsidR="006F1C3F" w:rsidRDefault="006F1C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203880"/>
      <w:docPartObj>
        <w:docPartGallery w:val="Page Numbers (Bottom of Page)"/>
        <w:docPartUnique/>
      </w:docPartObj>
    </w:sdtPr>
    <w:sdtEndPr/>
    <w:sdtContent>
      <w:p w:rsidR="006F1C3F" w:rsidRDefault="006F1C3F">
        <w:pPr>
          <w:pStyle w:val="Footer"/>
          <w:jc w:val="right"/>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sidR="00847326">
          <w:rPr>
            <w:rFonts w:cs="Times New Roman"/>
            <w:noProof/>
          </w:rPr>
          <w:t>17</w:t>
        </w:r>
        <w:r>
          <w:rPr>
            <w:rFonts w:cs="Times New Roman"/>
          </w:rPr>
          <w:fldChar w:fldCharType="end"/>
        </w:r>
      </w:p>
    </w:sdtContent>
  </w:sdt>
  <w:p w:rsidR="006F1C3F" w:rsidRDefault="006F1C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3F7" w:rsidRDefault="00CF43F7">
      <w:r>
        <w:separator/>
      </w:r>
    </w:p>
    <w:p w:rsidR="00CF43F7" w:rsidRDefault="00CF43F7"/>
  </w:footnote>
  <w:footnote w:type="continuationSeparator" w:id="0">
    <w:p w:rsidR="00CF43F7" w:rsidRDefault="00CF43F7">
      <w:r>
        <w:continuationSeparator/>
      </w:r>
    </w:p>
    <w:p w:rsidR="00CF43F7" w:rsidRDefault="00CF43F7"/>
  </w:footnote>
  <w:footnote w:type="continuationNotice" w:id="1">
    <w:p w:rsidR="00CF43F7" w:rsidRDefault="00CF43F7"/>
    <w:p w:rsidR="00CF43F7" w:rsidRDefault="00CF43F7"/>
  </w:footnote>
  <w:footnote w:id="2">
    <w:p w:rsidR="006F1C3F" w:rsidRPr="00380CA9" w:rsidRDefault="006F1C3F">
      <w:pPr>
        <w:pStyle w:val="FootnoteText"/>
        <w:rPr>
          <w:rFonts w:cs="Times New Roman"/>
        </w:rPr>
      </w:pPr>
      <w:r w:rsidRPr="00380CA9">
        <w:rPr>
          <w:rStyle w:val="FootnoteReference"/>
          <w:rFonts w:ascii="Times New Roman" w:hAnsi="Times New Roman" w:cs="Times New Roman"/>
        </w:rPr>
        <w:footnoteRef/>
      </w:r>
      <w:r w:rsidRPr="00380CA9">
        <w:rPr>
          <w:rFonts w:cs="Times New Roman"/>
        </w:rPr>
        <w:t xml:space="preserve"> Zakon o zaštiti okoliša (NN 80/13, 153/13, 78/15, 12/18, 118/18)</w:t>
      </w:r>
    </w:p>
  </w:footnote>
  <w:footnote w:id="3">
    <w:p w:rsidR="006F1C3F" w:rsidRPr="00380CA9" w:rsidRDefault="006F1C3F">
      <w:pPr>
        <w:pStyle w:val="FootnoteText"/>
        <w:jc w:val="left"/>
        <w:rPr>
          <w:rFonts w:cs="Times New Roman"/>
        </w:rPr>
      </w:pPr>
      <w:r w:rsidRPr="00380CA9">
        <w:rPr>
          <w:rStyle w:val="FootnoteReference"/>
          <w:rFonts w:ascii="Times New Roman" w:hAnsi="Times New Roman" w:cs="Times New Roman"/>
        </w:rPr>
        <w:footnoteRef/>
      </w:r>
      <w:r w:rsidRPr="00380CA9">
        <w:rPr>
          <w:rFonts w:cs="Times New Roman"/>
        </w:rPr>
        <w:t xml:space="preserve"> Izvješće o inventaru stakleničkih plinova 2020 </w:t>
      </w:r>
      <w:hyperlink r:id="rId1" w:history="1">
        <w:r w:rsidRPr="00380CA9">
          <w:rPr>
            <w:rStyle w:val="Hyperlink"/>
            <w:rFonts w:cs="Times New Roman"/>
          </w:rPr>
          <w:t>http://www.haop.hr/sites/default/files/uploads/dokumenti/012_klima/dostava_podataka/Izvjesca/NIR_2020_hrv.pdf</w:t>
        </w:r>
      </w:hyperlink>
      <w:r w:rsidRPr="00380CA9">
        <w:rPr>
          <w:rFonts w:cs="Times New Roman"/>
        </w:rPr>
        <w:t xml:space="preserve"> </w:t>
      </w:r>
    </w:p>
  </w:footnote>
  <w:footnote w:id="4">
    <w:p w:rsidR="006F1C3F" w:rsidRPr="00430F83" w:rsidRDefault="006F1C3F">
      <w:pPr>
        <w:pStyle w:val="FootnoteText"/>
        <w:rPr>
          <w:rFonts w:cs="Times New Roman"/>
        </w:rPr>
      </w:pPr>
      <w:r w:rsidRPr="00430F83">
        <w:rPr>
          <w:rStyle w:val="FootnoteReference"/>
          <w:rFonts w:ascii="Times New Roman" w:hAnsi="Times New Roman" w:cs="Times New Roman"/>
        </w:rPr>
        <w:footnoteRef/>
      </w:r>
      <w:r w:rsidRPr="00430F83">
        <w:rPr>
          <w:rFonts w:cs="Times New Roman"/>
        </w:rPr>
        <w:t xml:space="preserve"> Zakona o sustavu strateškog planiranja i upravljanja razvojem Republike Hrvatske (NN 123/17)</w:t>
      </w:r>
    </w:p>
  </w:footnote>
  <w:footnote w:id="5">
    <w:p w:rsidR="006F1C3F" w:rsidRPr="004D5D43" w:rsidRDefault="006F1C3F">
      <w:pPr>
        <w:pStyle w:val="FootnoteText"/>
        <w:rPr>
          <w:rFonts w:cs="Times New Roman"/>
        </w:rPr>
      </w:pPr>
      <w:r w:rsidRPr="004D5D43">
        <w:rPr>
          <w:rStyle w:val="FootnoteReference"/>
          <w:rFonts w:ascii="Times New Roman" w:hAnsi="Times New Roman" w:cs="Times New Roman"/>
        </w:rPr>
        <w:footnoteRef/>
      </w:r>
      <w:r w:rsidRPr="004D5D43">
        <w:rPr>
          <w:rFonts w:cs="Times New Roman"/>
        </w:rPr>
        <w:t xml:space="preserve"> Zakon o sustavu strateškog planiranja i upravljanja razvojem Republike Hrvatske  (NN 123/17) </w:t>
      </w:r>
      <w:hyperlink r:id="rId2" w:history="1">
        <w:r w:rsidRPr="004D5D43">
          <w:rPr>
            <w:rStyle w:val="Hyperlink"/>
            <w:rFonts w:cs="Times New Roman"/>
          </w:rPr>
          <w:t>https://narodne-novine.nn.hr/clanci/sluzbeni/2017_12_123_2798.html</w:t>
        </w:r>
      </w:hyperlink>
      <w:r w:rsidRPr="004D5D43">
        <w:rPr>
          <w:rFonts w:cs="Times New Roman"/>
        </w:rPr>
        <w:t xml:space="preserve"> </w:t>
      </w:r>
    </w:p>
  </w:footnote>
  <w:footnote w:id="6">
    <w:p w:rsidR="006F1C3F" w:rsidRPr="00DA2DA8" w:rsidRDefault="006F1C3F">
      <w:pPr>
        <w:pStyle w:val="FootnoteText"/>
        <w:rPr>
          <w:rFonts w:cs="Times New Roman"/>
        </w:rPr>
      </w:pPr>
      <w:r w:rsidRPr="00DA2DA8">
        <w:rPr>
          <w:rStyle w:val="FootnoteReference"/>
          <w:rFonts w:ascii="Times New Roman" w:hAnsi="Times New Roman" w:cs="Times New Roman"/>
        </w:rPr>
        <w:footnoteRef/>
      </w:r>
      <w:r w:rsidRPr="00DA2DA8">
        <w:rPr>
          <w:rFonts w:cs="Times New Roman"/>
        </w:rPr>
        <w:t xml:space="preserve"> FAO. 2018. The future of food and agriculture – Alternative pathways to 2050. Rome. 224 pp. Licence: CC BY-NC-SA 3.0 IGO.</w:t>
      </w:r>
    </w:p>
  </w:footnote>
  <w:footnote w:id="7">
    <w:p w:rsidR="006F1C3F" w:rsidRPr="004D5D43" w:rsidRDefault="006F1C3F">
      <w:pPr>
        <w:pStyle w:val="FootnoteText"/>
        <w:rPr>
          <w:rFonts w:cs="Times New Roman"/>
        </w:rPr>
      </w:pPr>
      <w:r w:rsidRPr="004D5D43">
        <w:rPr>
          <w:rStyle w:val="FootnoteReference"/>
          <w:rFonts w:ascii="Times New Roman" w:hAnsi="Times New Roman" w:cs="Times New Roman"/>
        </w:rPr>
        <w:footnoteRef/>
      </w:r>
      <w:r w:rsidRPr="004D5D43">
        <w:rPr>
          <w:rFonts w:cs="Times New Roman"/>
        </w:rPr>
        <w:t>Recommended parameters for reporting on GHG projections in 2019, EK</w:t>
      </w:r>
    </w:p>
    <w:p w:rsidR="006F1C3F" w:rsidRDefault="006F1C3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525A"/>
    <w:multiLevelType w:val="hybridMultilevel"/>
    <w:tmpl w:val="2F90F85A"/>
    <w:lvl w:ilvl="0" w:tplc="42C020A0">
      <w:start w:val="1"/>
      <w:numFmt w:val="bullet"/>
      <w:lvlText w:val=""/>
      <w:lvlJc w:val="left"/>
      <w:pPr>
        <w:ind w:left="720" w:hanging="360"/>
      </w:pPr>
      <w:rPr>
        <w:rFonts w:ascii="Symbol" w:hAnsi="Symbol" w:hint="default"/>
      </w:rPr>
    </w:lvl>
    <w:lvl w:ilvl="1" w:tplc="076027A6">
      <w:start w:val="1"/>
      <w:numFmt w:val="bullet"/>
      <w:lvlText w:val="•"/>
      <w:lvlJc w:val="left"/>
      <w:pPr>
        <w:ind w:left="1440" w:hanging="360"/>
      </w:pPr>
      <w:rPr>
        <w:rFonts w:ascii="Calibri" w:hAnsi="Calibri" w:hint="default"/>
        <w:b w:val="0"/>
        <w:i w:val="0"/>
        <w:sz w:val="22"/>
      </w:rPr>
    </w:lvl>
    <w:lvl w:ilvl="2" w:tplc="82F0C11C">
      <w:start w:val="1"/>
      <w:numFmt w:val="bullet"/>
      <w:lvlText w:val=""/>
      <w:lvlJc w:val="left"/>
      <w:pPr>
        <w:ind w:left="2160" w:hanging="360"/>
      </w:pPr>
      <w:rPr>
        <w:rFonts w:ascii="Wingdings" w:hAnsi="Wingdings" w:hint="default"/>
      </w:rPr>
    </w:lvl>
    <w:lvl w:ilvl="3" w:tplc="C4103DC8">
      <w:start w:val="1"/>
      <w:numFmt w:val="bullet"/>
      <w:lvlText w:val=""/>
      <w:lvlJc w:val="left"/>
      <w:pPr>
        <w:ind w:left="2880" w:hanging="360"/>
      </w:pPr>
      <w:rPr>
        <w:rFonts w:ascii="Symbol" w:hAnsi="Symbol" w:hint="default"/>
      </w:rPr>
    </w:lvl>
    <w:lvl w:ilvl="4" w:tplc="A0044146">
      <w:start w:val="1"/>
      <w:numFmt w:val="bullet"/>
      <w:lvlText w:val="o"/>
      <w:lvlJc w:val="left"/>
      <w:pPr>
        <w:ind w:left="3600" w:hanging="360"/>
      </w:pPr>
      <w:rPr>
        <w:rFonts w:ascii="Courier New" w:hAnsi="Courier New" w:cs="Courier New" w:hint="default"/>
      </w:rPr>
    </w:lvl>
    <w:lvl w:ilvl="5" w:tplc="70AA849A">
      <w:start w:val="1"/>
      <w:numFmt w:val="bullet"/>
      <w:lvlText w:val=""/>
      <w:lvlJc w:val="left"/>
      <w:pPr>
        <w:ind w:left="4320" w:hanging="360"/>
      </w:pPr>
      <w:rPr>
        <w:rFonts w:ascii="Wingdings" w:hAnsi="Wingdings" w:hint="default"/>
      </w:rPr>
    </w:lvl>
    <w:lvl w:ilvl="6" w:tplc="82848234">
      <w:start w:val="1"/>
      <w:numFmt w:val="bullet"/>
      <w:lvlText w:val=""/>
      <w:lvlJc w:val="left"/>
      <w:pPr>
        <w:ind w:left="5040" w:hanging="360"/>
      </w:pPr>
      <w:rPr>
        <w:rFonts w:ascii="Symbol" w:hAnsi="Symbol" w:hint="default"/>
      </w:rPr>
    </w:lvl>
    <w:lvl w:ilvl="7" w:tplc="96CEE94E">
      <w:start w:val="1"/>
      <w:numFmt w:val="bullet"/>
      <w:lvlText w:val="o"/>
      <w:lvlJc w:val="left"/>
      <w:pPr>
        <w:ind w:left="5760" w:hanging="360"/>
      </w:pPr>
      <w:rPr>
        <w:rFonts w:ascii="Courier New" w:hAnsi="Courier New" w:cs="Courier New" w:hint="default"/>
      </w:rPr>
    </w:lvl>
    <w:lvl w:ilvl="8" w:tplc="F6AEF98E">
      <w:start w:val="1"/>
      <w:numFmt w:val="bullet"/>
      <w:lvlText w:val=""/>
      <w:lvlJc w:val="left"/>
      <w:pPr>
        <w:ind w:left="6480" w:hanging="360"/>
      </w:pPr>
      <w:rPr>
        <w:rFonts w:ascii="Wingdings" w:hAnsi="Wingdings" w:hint="default"/>
      </w:rPr>
    </w:lvl>
  </w:abstractNum>
  <w:abstractNum w:abstractNumId="1" w15:restartNumberingAfterBreak="0">
    <w:nsid w:val="0657643B"/>
    <w:multiLevelType w:val="hybridMultilevel"/>
    <w:tmpl w:val="E89EB572"/>
    <w:lvl w:ilvl="0" w:tplc="57F85C5A">
      <w:start w:val="1"/>
      <w:numFmt w:val="bullet"/>
      <w:lvlText w:val="•"/>
      <w:lvlJc w:val="left"/>
      <w:pPr>
        <w:ind w:left="720" w:hanging="360"/>
      </w:pPr>
      <w:rPr>
        <w:rFonts w:ascii="Calibri" w:hAnsi="Calibri" w:hint="default"/>
        <w:b w:val="0"/>
        <w:i w:val="0"/>
        <w:sz w:val="22"/>
      </w:rPr>
    </w:lvl>
    <w:lvl w:ilvl="1" w:tplc="4644048A">
      <w:start w:val="1"/>
      <w:numFmt w:val="bullet"/>
      <w:lvlText w:val="o"/>
      <w:lvlJc w:val="left"/>
      <w:pPr>
        <w:ind w:left="1440" w:hanging="360"/>
      </w:pPr>
      <w:rPr>
        <w:rFonts w:ascii="Courier New" w:hAnsi="Courier New" w:cs="Courier New" w:hint="default"/>
      </w:rPr>
    </w:lvl>
    <w:lvl w:ilvl="2" w:tplc="7010B50A">
      <w:start w:val="1"/>
      <w:numFmt w:val="bullet"/>
      <w:lvlText w:val=""/>
      <w:lvlJc w:val="left"/>
      <w:pPr>
        <w:ind w:left="2160" w:hanging="360"/>
      </w:pPr>
      <w:rPr>
        <w:rFonts w:ascii="Wingdings" w:hAnsi="Wingdings" w:hint="default"/>
      </w:rPr>
    </w:lvl>
    <w:lvl w:ilvl="3" w:tplc="D3BA2F30">
      <w:start w:val="1"/>
      <w:numFmt w:val="bullet"/>
      <w:lvlText w:val=""/>
      <w:lvlJc w:val="left"/>
      <w:pPr>
        <w:ind w:left="2880" w:hanging="360"/>
      </w:pPr>
      <w:rPr>
        <w:rFonts w:ascii="Symbol" w:hAnsi="Symbol" w:hint="default"/>
      </w:rPr>
    </w:lvl>
    <w:lvl w:ilvl="4" w:tplc="D1F2EDD0">
      <w:start w:val="1"/>
      <w:numFmt w:val="bullet"/>
      <w:lvlText w:val="o"/>
      <w:lvlJc w:val="left"/>
      <w:pPr>
        <w:ind w:left="3600" w:hanging="360"/>
      </w:pPr>
      <w:rPr>
        <w:rFonts w:ascii="Courier New" w:hAnsi="Courier New" w:cs="Courier New" w:hint="default"/>
      </w:rPr>
    </w:lvl>
    <w:lvl w:ilvl="5" w:tplc="EF424696">
      <w:start w:val="1"/>
      <w:numFmt w:val="bullet"/>
      <w:lvlText w:val=""/>
      <w:lvlJc w:val="left"/>
      <w:pPr>
        <w:ind w:left="4320" w:hanging="360"/>
      </w:pPr>
      <w:rPr>
        <w:rFonts w:ascii="Wingdings" w:hAnsi="Wingdings" w:hint="default"/>
      </w:rPr>
    </w:lvl>
    <w:lvl w:ilvl="6" w:tplc="69101DB4">
      <w:start w:val="1"/>
      <w:numFmt w:val="bullet"/>
      <w:lvlText w:val=""/>
      <w:lvlJc w:val="left"/>
      <w:pPr>
        <w:ind w:left="5040" w:hanging="360"/>
      </w:pPr>
      <w:rPr>
        <w:rFonts w:ascii="Symbol" w:hAnsi="Symbol" w:hint="default"/>
      </w:rPr>
    </w:lvl>
    <w:lvl w:ilvl="7" w:tplc="F8C8C4F8">
      <w:start w:val="1"/>
      <w:numFmt w:val="bullet"/>
      <w:lvlText w:val="o"/>
      <w:lvlJc w:val="left"/>
      <w:pPr>
        <w:ind w:left="5760" w:hanging="360"/>
      </w:pPr>
      <w:rPr>
        <w:rFonts w:ascii="Courier New" w:hAnsi="Courier New" w:cs="Courier New" w:hint="default"/>
      </w:rPr>
    </w:lvl>
    <w:lvl w:ilvl="8" w:tplc="D2302F44">
      <w:start w:val="1"/>
      <w:numFmt w:val="bullet"/>
      <w:lvlText w:val=""/>
      <w:lvlJc w:val="left"/>
      <w:pPr>
        <w:ind w:left="6480" w:hanging="360"/>
      </w:pPr>
      <w:rPr>
        <w:rFonts w:ascii="Wingdings" w:hAnsi="Wingdings" w:hint="default"/>
      </w:rPr>
    </w:lvl>
  </w:abstractNum>
  <w:abstractNum w:abstractNumId="2" w15:restartNumberingAfterBreak="0">
    <w:nsid w:val="0D786043"/>
    <w:multiLevelType w:val="hybridMultilevel"/>
    <w:tmpl w:val="8B50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B0CEB"/>
    <w:multiLevelType w:val="hybridMultilevel"/>
    <w:tmpl w:val="718C9D80"/>
    <w:lvl w:ilvl="0" w:tplc="C9BCBB48">
      <w:start w:val="1"/>
      <w:numFmt w:val="bullet"/>
      <w:lvlText w:val="•"/>
      <w:lvlJc w:val="left"/>
      <w:pPr>
        <w:ind w:left="1077" w:hanging="360"/>
      </w:pPr>
      <w:rPr>
        <w:rFonts w:ascii="Calibri" w:hAnsi="Calibri" w:hint="default"/>
        <w:b w:val="0"/>
        <w:i w:val="0"/>
        <w:sz w:val="22"/>
      </w:rPr>
    </w:lvl>
    <w:lvl w:ilvl="1" w:tplc="5D945C62">
      <w:start w:val="1"/>
      <w:numFmt w:val="bullet"/>
      <w:lvlText w:val="o"/>
      <w:lvlJc w:val="left"/>
      <w:pPr>
        <w:ind w:left="1797" w:hanging="360"/>
      </w:pPr>
      <w:rPr>
        <w:rFonts w:ascii="Courier New" w:hAnsi="Courier New" w:cs="Courier New" w:hint="default"/>
      </w:rPr>
    </w:lvl>
    <w:lvl w:ilvl="2" w:tplc="95E85AAC">
      <w:start w:val="1"/>
      <w:numFmt w:val="bullet"/>
      <w:lvlText w:val=""/>
      <w:lvlJc w:val="left"/>
      <w:pPr>
        <w:ind w:left="2517" w:hanging="360"/>
      </w:pPr>
      <w:rPr>
        <w:rFonts w:ascii="Wingdings" w:hAnsi="Wingdings" w:hint="default"/>
      </w:rPr>
    </w:lvl>
    <w:lvl w:ilvl="3" w:tplc="04E4F254">
      <w:start w:val="1"/>
      <w:numFmt w:val="bullet"/>
      <w:lvlText w:val=""/>
      <w:lvlJc w:val="left"/>
      <w:pPr>
        <w:ind w:left="3237" w:hanging="360"/>
      </w:pPr>
      <w:rPr>
        <w:rFonts w:ascii="Symbol" w:hAnsi="Symbol" w:hint="default"/>
      </w:rPr>
    </w:lvl>
    <w:lvl w:ilvl="4" w:tplc="2A2A040C">
      <w:start w:val="1"/>
      <w:numFmt w:val="bullet"/>
      <w:lvlText w:val="o"/>
      <w:lvlJc w:val="left"/>
      <w:pPr>
        <w:ind w:left="3957" w:hanging="360"/>
      </w:pPr>
      <w:rPr>
        <w:rFonts w:ascii="Courier New" w:hAnsi="Courier New" w:cs="Courier New" w:hint="default"/>
      </w:rPr>
    </w:lvl>
    <w:lvl w:ilvl="5" w:tplc="822090D0">
      <w:start w:val="1"/>
      <w:numFmt w:val="bullet"/>
      <w:lvlText w:val=""/>
      <w:lvlJc w:val="left"/>
      <w:pPr>
        <w:ind w:left="4677" w:hanging="360"/>
      </w:pPr>
      <w:rPr>
        <w:rFonts w:ascii="Wingdings" w:hAnsi="Wingdings" w:hint="default"/>
      </w:rPr>
    </w:lvl>
    <w:lvl w:ilvl="6" w:tplc="1E0CF7C4">
      <w:start w:val="1"/>
      <w:numFmt w:val="bullet"/>
      <w:lvlText w:val=""/>
      <w:lvlJc w:val="left"/>
      <w:pPr>
        <w:ind w:left="5397" w:hanging="360"/>
      </w:pPr>
      <w:rPr>
        <w:rFonts w:ascii="Symbol" w:hAnsi="Symbol" w:hint="default"/>
      </w:rPr>
    </w:lvl>
    <w:lvl w:ilvl="7" w:tplc="C6182568">
      <w:start w:val="1"/>
      <w:numFmt w:val="bullet"/>
      <w:lvlText w:val="o"/>
      <w:lvlJc w:val="left"/>
      <w:pPr>
        <w:ind w:left="6117" w:hanging="360"/>
      </w:pPr>
      <w:rPr>
        <w:rFonts w:ascii="Courier New" w:hAnsi="Courier New" w:cs="Courier New" w:hint="default"/>
      </w:rPr>
    </w:lvl>
    <w:lvl w:ilvl="8" w:tplc="4A9EF7B6">
      <w:start w:val="1"/>
      <w:numFmt w:val="bullet"/>
      <w:lvlText w:val=""/>
      <w:lvlJc w:val="left"/>
      <w:pPr>
        <w:ind w:left="6837" w:hanging="360"/>
      </w:pPr>
      <w:rPr>
        <w:rFonts w:ascii="Wingdings" w:hAnsi="Wingdings" w:hint="default"/>
      </w:rPr>
    </w:lvl>
  </w:abstractNum>
  <w:abstractNum w:abstractNumId="4" w15:restartNumberingAfterBreak="0">
    <w:nsid w:val="0FCD5C20"/>
    <w:multiLevelType w:val="hybridMultilevel"/>
    <w:tmpl w:val="DCB6ED92"/>
    <w:lvl w:ilvl="0" w:tplc="A0289DD0">
      <w:start w:val="1"/>
      <w:numFmt w:val="bullet"/>
      <w:lvlText w:val="•"/>
      <w:lvlJc w:val="left"/>
      <w:pPr>
        <w:ind w:left="1440" w:hanging="360"/>
      </w:pPr>
      <w:rPr>
        <w:rFonts w:ascii="Calibri" w:hAnsi="Calibri" w:hint="default"/>
        <w:b w:val="0"/>
        <w:i w:val="0"/>
        <w:sz w:val="22"/>
      </w:rPr>
    </w:lvl>
    <w:lvl w:ilvl="1" w:tplc="9C38C12E">
      <w:start w:val="1"/>
      <w:numFmt w:val="bullet"/>
      <w:lvlText w:val="o"/>
      <w:lvlJc w:val="left"/>
      <w:pPr>
        <w:ind w:left="2160" w:hanging="360"/>
      </w:pPr>
      <w:rPr>
        <w:rFonts w:ascii="Courier New" w:hAnsi="Courier New" w:cs="Courier New" w:hint="default"/>
      </w:rPr>
    </w:lvl>
    <w:lvl w:ilvl="2" w:tplc="83A6E882">
      <w:start w:val="1"/>
      <w:numFmt w:val="bullet"/>
      <w:lvlText w:val=""/>
      <w:lvlJc w:val="left"/>
      <w:pPr>
        <w:ind w:left="2880" w:hanging="360"/>
      </w:pPr>
      <w:rPr>
        <w:rFonts w:ascii="Wingdings" w:hAnsi="Wingdings" w:hint="default"/>
      </w:rPr>
    </w:lvl>
    <w:lvl w:ilvl="3" w:tplc="400A384A">
      <w:start w:val="1"/>
      <w:numFmt w:val="bullet"/>
      <w:lvlText w:val=""/>
      <w:lvlJc w:val="left"/>
      <w:pPr>
        <w:ind w:left="3600" w:hanging="360"/>
      </w:pPr>
      <w:rPr>
        <w:rFonts w:ascii="Symbol" w:hAnsi="Symbol" w:hint="default"/>
      </w:rPr>
    </w:lvl>
    <w:lvl w:ilvl="4" w:tplc="DF1A6F32">
      <w:start w:val="1"/>
      <w:numFmt w:val="bullet"/>
      <w:lvlText w:val="o"/>
      <w:lvlJc w:val="left"/>
      <w:pPr>
        <w:ind w:left="4320" w:hanging="360"/>
      </w:pPr>
      <w:rPr>
        <w:rFonts w:ascii="Courier New" w:hAnsi="Courier New" w:cs="Courier New" w:hint="default"/>
      </w:rPr>
    </w:lvl>
    <w:lvl w:ilvl="5" w:tplc="66BA84CA">
      <w:start w:val="1"/>
      <w:numFmt w:val="bullet"/>
      <w:lvlText w:val=""/>
      <w:lvlJc w:val="left"/>
      <w:pPr>
        <w:ind w:left="5040" w:hanging="360"/>
      </w:pPr>
      <w:rPr>
        <w:rFonts w:ascii="Wingdings" w:hAnsi="Wingdings" w:hint="default"/>
      </w:rPr>
    </w:lvl>
    <w:lvl w:ilvl="6" w:tplc="CEB69EC4">
      <w:start w:val="1"/>
      <w:numFmt w:val="bullet"/>
      <w:lvlText w:val=""/>
      <w:lvlJc w:val="left"/>
      <w:pPr>
        <w:ind w:left="5760" w:hanging="360"/>
      </w:pPr>
      <w:rPr>
        <w:rFonts w:ascii="Symbol" w:hAnsi="Symbol" w:hint="default"/>
      </w:rPr>
    </w:lvl>
    <w:lvl w:ilvl="7" w:tplc="59F6CCAE">
      <w:start w:val="1"/>
      <w:numFmt w:val="bullet"/>
      <w:lvlText w:val="o"/>
      <w:lvlJc w:val="left"/>
      <w:pPr>
        <w:ind w:left="6480" w:hanging="360"/>
      </w:pPr>
      <w:rPr>
        <w:rFonts w:ascii="Courier New" w:hAnsi="Courier New" w:cs="Courier New" w:hint="default"/>
      </w:rPr>
    </w:lvl>
    <w:lvl w:ilvl="8" w:tplc="D47C4D58">
      <w:start w:val="1"/>
      <w:numFmt w:val="bullet"/>
      <w:lvlText w:val=""/>
      <w:lvlJc w:val="left"/>
      <w:pPr>
        <w:ind w:left="7200" w:hanging="360"/>
      </w:pPr>
      <w:rPr>
        <w:rFonts w:ascii="Wingdings" w:hAnsi="Wingdings" w:hint="default"/>
      </w:rPr>
    </w:lvl>
  </w:abstractNum>
  <w:abstractNum w:abstractNumId="5" w15:restartNumberingAfterBreak="0">
    <w:nsid w:val="10594B9D"/>
    <w:multiLevelType w:val="hybridMultilevel"/>
    <w:tmpl w:val="F27AB6A0"/>
    <w:lvl w:ilvl="0" w:tplc="9CD2BAD6">
      <w:start w:val="1"/>
      <w:numFmt w:val="bullet"/>
      <w:lvlText w:val="•"/>
      <w:lvlJc w:val="left"/>
      <w:pPr>
        <w:ind w:left="720" w:hanging="360"/>
      </w:pPr>
      <w:rPr>
        <w:rFonts w:ascii="Calibri" w:hAnsi="Calibri" w:hint="default"/>
        <w:b w:val="0"/>
        <w:i w:val="0"/>
        <w:sz w:val="22"/>
      </w:rPr>
    </w:lvl>
    <w:lvl w:ilvl="1" w:tplc="479223E8">
      <w:start w:val="1"/>
      <w:numFmt w:val="bullet"/>
      <w:lvlText w:val="o"/>
      <w:lvlJc w:val="left"/>
      <w:pPr>
        <w:ind w:left="1440" w:hanging="360"/>
      </w:pPr>
      <w:rPr>
        <w:rFonts w:ascii="Courier New" w:hAnsi="Courier New" w:cs="Courier New" w:hint="default"/>
      </w:rPr>
    </w:lvl>
    <w:lvl w:ilvl="2" w:tplc="ED268474">
      <w:start w:val="1"/>
      <w:numFmt w:val="bullet"/>
      <w:lvlText w:val=""/>
      <w:lvlJc w:val="left"/>
      <w:pPr>
        <w:ind w:left="2160" w:hanging="360"/>
      </w:pPr>
      <w:rPr>
        <w:rFonts w:ascii="Wingdings" w:hAnsi="Wingdings" w:hint="default"/>
      </w:rPr>
    </w:lvl>
    <w:lvl w:ilvl="3" w:tplc="C8CCE86C">
      <w:start w:val="1"/>
      <w:numFmt w:val="bullet"/>
      <w:lvlText w:val=""/>
      <w:lvlJc w:val="left"/>
      <w:pPr>
        <w:ind w:left="2880" w:hanging="360"/>
      </w:pPr>
      <w:rPr>
        <w:rFonts w:ascii="Symbol" w:hAnsi="Symbol" w:hint="default"/>
      </w:rPr>
    </w:lvl>
    <w:lvl w:ilvl="4" w:tplc="0AD86FAC">
      <w:start w:val="1"/>
      <w:numFmt w:val="bullet"/>
      <w:lvlText w:val="o"/>
      <w:lvlJc w:val="left"/>
      <w:pPr>
        <w:ind w:left="3600" w:hanging="360"/>
      </w:pPr>
      <w:rPr>
        <w:rFonts w:ascii="Courier New" w:hAnsi="Courier New" w:cs="Courier New" w:hint="default"/>
      </w:rPr>
    </w:lvl>
    <w:lvl w:ilvl="5" w:tplc="A7168112">
      <w:start w:val="1"/>
      <w:numFmt w:val="bullet"/>
      <w:lvlText w:val=""/>
      <w:lvlJc w:val="left"/>
      <w:pPr>
        <w:ind w:left="4320" w:hanging="360"/>
      </w:pPr>
      <w:rPr>
        <w:rFonts w:ascii="Wingdings" w:hAnsi="Wingdings" w:hint="default"/>
      </w:rPr>
    </w:lvl>
    <w:lvl w:ilvl="6" w:tplc="0E9CE620">
      <w:start w:val="1"/>
      <w:numFmt w:val="bullet"/>
      <w:lvlText w:val=""/>
      <w:lvlJc w:val="left"/>
      <w:pPr>
        <w:ind w:left="5040" w:hanging="360"/>
      </w:pPr>
      <w:rPr>
        <w:rFonts w:ascii="Symbol" w:hAnsi="Symbol" w:hint="default"/>
      </w:rPr>
    </w:lvl>
    <w:lvl w:ilvl="7" w:tplc="0E6A5388">
      <w:start w:val="1"/>
      <w:numFmt w:val="bullet"/>
      <w:lvlText w:val="o"/>
      <w:lvlJc w:val="left"/>
      <w:pPr>
        <w:ind w:left="5760" w:hanging="360"/>
      </w:pPr>
      <w:rPr>
        <w:rFonts w:ascii="Courier New" w:hAnsi="Courier New" w:cs="Courier New" w:hint="default"/>
      </w:rPr>
    </w:lvl>
    <w:lvl w:ilvl="8" w:tplc="04DE39A4">
      <w:start w:val="1"/>
      <w:numFmt w:val="bullet"/>
      <w:lvlText w:val=""/>
      <w:lvlJc w:val="left"/>
      <w:pPr>
        <w:ind w:left="6480" w:hanging="360"/>
      </w:pPr>
      <w:rPr>
        <w:rFonts w:ascii="Wingdings" w:hAnsi="Wingdings" w:hint="default"/>
      </w:rPr>
    </w:lvl>
  </w:abstractNum>
  <w:abstractNum w:abstractNumId="6" w15:restartNumberingAfterBreak="0">
    <w:nsid w:val="10E55AB4"/>
    <w:multiLevelType w:val="hybridMultilevel"/>
    <w:tmpl w:val="D3AA96D8"/>
    <w:lvl w:ilvl="0" w:tplc="5810E262">
      <w:start w:val="1"/>
      <w:numFmt w:val="bullet"/>
      <w:lvlText w:val="•"/>
      <w:lvlJc w:val="left"/>
      <w:pPr>
        <w:ind w:left="720" w:hanging="360"/>
      </w:pPr>
      <w:rPr>
        <w:rFonts w:ascii="Calibri" w:hAnsi="Calibri" w:hint="default"/>
        <w:b w:val="0"/>
        <w:i w:val="0"/>
        <w:sz w:val="22"/>
      </w:rPr>
    </w:lvl>
    <w:lvl w:ilvl="1" w:tplc="5592178A">
      <w:start w:val="1"/>
      <w:numFmt w:val="bullet"/>
      <w:lvlText w:val="o"/>
      <w:lvlJc w:val="left"/>
      <w:pPr>
        <w:ind w:left="1440" w:hanging="360"/>
      </w:pPr>
      <w:rPr>
        <w:rFonts w:ascii="Courier New" w:hAnsi="Courier New" w:cs="Courier New" w:hint="default"/>
      </w:rPr>
    </w:lvl>
    <w:lvl w:ilvl="2" w:tplc="51D24EC0">
      <w:start w:val="1"/>
      <w:numFmt w:val="bullet"/>
      <w:lvlText w:val=""/>
      <w:lvlJc w:val="left"/>
      <w:pPr>
        <w:ind w:left="2160" w:hanging="360"/>
      </w:pPr>
      <w:rPr>
        <w:rFonts w:ascii="Wingdings" w:hAnsi="Wingdings" w:hint="default"/>
      </w:rPr>
    </w:lvl>
    <w:lvl w:ilvl="3" w:tplc="AD1C83C2">
      <w:start w:val="1"/>
      <w:numFmt w:val="bullet"/>
      <w:lvlText w:val=""/>
      <w:lvlJc w:val="left"/>
      <w:pPr>
        <w:ind w:left="2880" w:hanging="360"/>
      </w:pPr>
      <w:rPr>
        <w:rFonts w:ascii="Symbol" w:hAnsi="Symbol" w:hint="default"/>
      </w:rPr>
    </w:lvl>
    <w:lvl w:ilvl="4" w:tplc="4A481B34">
      <w:start w:val="1"/>
      <w:numFmt w:val="bullet"/>
      <w:lvlText w:val="o"/>
      <w:lvlJc w:val="left"/>
      <w:pPr>
        <w:ind w:left="3600" w:hanging="360"/>
      </w:pPr>
      <w:rPr>
        <w:rFonts w:ascii="Courier New" w:hAnsi="Courier New" w:cs="Courier New" w:hint="default"/>
      </w:rPr>
    </w:lvl>
    <w:lvl w:ilvl="5" w:tplc="21866E0C">
      <w:start w:val="1"/>
      <w:numFmt w:val="bullet"/>
      <w:lvlText w:val=""/>
      <w:lvlJc w:val="left"/>
      <w:pPr>
        <w:ind w:left="4320" w:hanging="360"/>
      </w:pPr>
      <w:rPr>
        <w:rFonts w:ascii="Wingdings" w:hAnsi="Wingdings" w:hint="default"/>
      </w:rPr>
    </w:lvl>
    <w:lvl w:ilvl="6" w:tplc="6316A274">
      <w:start w:val="1"/>
      <w:numFmt w:val="bullet"/>
      <w:lvlText w:val=""/>
      <w:lvlJc w:val="left"/>
      <w:pPr>
        <w:ind w:left="5040" w:hanging="360"/>
      </w:pPr>
      <w:rPr>
        <w:rFonts w:ascii="Symbol" w:hAnsi="Symbol" w:hint="default"/>
      </w:rPr>
    </w:lvl>
    <w:lvl w:ilvl="7" w:tplc="CC404304">
      <w:start w:val="1"/>
      <w:numFmt w:val="bullet"/>
      <w:lvlText w:val="o"/>
      <w:lvlJc w:val="left"/>
      <w:pPr>
        <w:ind w:left="5760" w:hanging="360"/>
      </w:pPr>
      <w:rPr>
        <w:rFonts w:ascii="Courier New" w:hAnsi="Courier New" w:cs="Courier New" w:hint="default"/>
      </w:rPr>
    </w:lvl>
    <w:lvl w:ilvl="8" w:tplc="75781972">
      <w:start w:val="1"/>
      <w:numFmt w:val="bullet"/>
      <w:lvlText w:val=""/>
      <w:lvlJc w:val="left"/>
      <w:pPr>
        <w:ind w:left="6480" w:hanging="360"/>
      </w:pPr>
      <w:rPr>
        <w:rFonts w:ascii="Wingdings" w:hAnsi="Wingdings" w:hint="default"/>
      </w:rPr>
    </w:lvl>
  </w:abstractNum>
  <w:abstractNum w:abstractNumId="7" w15:restartNumberingAfterBreak="0">
    <w:nsid w:val="10EB3A67"/>
    <w:multiLevelType w:val="hybridMultilevel"/>
    <w:tmpl w:val="94DAD7EA"/>
    <w:lvl w:ilvl="0" w:tplc="E9726ADA">
      <w:start w:val="1"/>
      <w:numFmt w:val="bullet"/>
      <w:lvlText w:val="•"/>
      <w:lvlJc w:val="left"/>
      <w:pPr>
        <w:ind w:left="720" w:hanging="360"/>
      </w:pPr>
      <w:rPr>
        <w:rFonts w:ascii="Calibri" w:hAnsi="Calibri" w:hint="default"/>
        <w:b w:val="0"/>
        <w:i w:val="0"/>
        <w:sz w:val="22"/>
      </w:rPr>
    </w:lvl>
    <w:lvl w:ilvl="1" w:tplc="A21EF5BC">
      <w:start w:val="1"/>
      <w:numFmt w:val="bullet"/>
      <w:lvlText w:val="o"/>
      <w:lvlJc w:val="left"/>
      <w:pPr>
        <w:ind w:left="1440" w:hanging="360"/>
      </w:pPr>
      <w:rPr>
        <w:rFonts w:ascii="Courier New" w:hAnsi="Courier New" w:cs="Courier New" w:hint="default"/>
      </w:rPr>
    </w:lvl>
    <w:lvl w:ilvl="2" w:tplc="DC183C08">
      <w:start w:val="1"/>
      <w:numFmt w:val="bullet"/>
      <w:lvlText w:val=""/>
      <w:lvlJc w:val="left"/>
      <w:pPr>
        <w:ind w:left="2160" w:hanging="360"/>
      </w:pPr>
      <w:rPr>
        <w:rFonts w:ascii="Wingdings" w:hAnsi="Wingdings" w:hint="default"/>
      </w:rPr>
    </w:lvl>
    <w:lvl w:ilvl="3" w:tplc="5F92CD78">
      <w:start w:val="1"/>
      <w:numFmt w:val="bullet"/>
      <w:lvlText w:val=""/>
      <w:lvlJc w:val="left"/>
      <w:pPr>
        <w:ind w:left="2880" w:hanging="360"/>
      </w:pPr>
      <w:rPr>
        <w:rFonts w:ascii="Symbol" w:hAnsi="Symbol" w:hint="default"/>
      </w:rPr>
    </w:lvl>
    <w:lvl w:ilvl="4" w:tplc="F64EB754">
      <w:start w:val="1"/>
      <w:numFmt w:val="bullet"/>
      <w:lvlText w:val="o"/>
      <w:lvlJc w:val="left"/>
      <w:pPr>
        <w:ind w:left="3600" w:hanging="360"/>
      </w:pPr>
      <w:rPr>
        <w:rFonts w:ascii="Courier New" w:hAnsi="Courier New" w:cs="Courier New" w:hint="default"/>
      </w:rPr>
    </w:lvl>
    <w:lvl w:ilvl="5" w:tplc="AED811DA">
      <w:start w:val="1"/>
      <w:numFmt w:val="bullet"/>
      <w:lvlText w:val=""/>
      <w:lvlJc w:val="left"/>
      <w:pPr>
        <w:ind w:left="4320" w:hanging="360"/>
      </w:pPr>
      <w:rPr>
        <w:rFonts w:ascii="Wingdings" w:hAnsi="Wingdings" w:hint="default"/>
      </w:rPr>
    </w:lvl>
    <w:lvl w:ilvl="6" w:tplc="2F88D18C">
      <w:start w:val="1"/>
      <w:numFmt w:val="bullet"/>
      <w:lvlText w:val=""/>
      <w:lvlJc w:val="left"/>
      <w:pPr>
        <w:ind w:left="5040" w:hanging="360"/>
      </w:pPr>
      <w:rPr>
        <w:rFonts w:ascii="Symbol" w:hAnsi="Symbol" w:hint="default"/>
      </w:rPr>
    </w:lvl>
    <w:lvl w:ilvl="7" w:tplc="7262B2AC">
      <w:start w:val="1"/>
      <w:numFmt w:val="bullet"/>
      <w:lvlText w:val="o"/>
      <w:lvlJc w:val="left"/>
      <w:pPr>
        <w:ind w:left="5760" w:hanging="360"/>
      </w:pPr>
      <w:rPr>
        <w:rFonts w:ascii="Courier New" w:hAnsi="Courier New" w:cs="Courier New" w:hint="default"/>
      </w:rPr>
    </w:lvl>
    <w:lvl w:ilvl="8" w:tplc="E280F03C">
      <w:start w:val="1"/>
      <w:numFmt w:val="bullet"/>
      <w:lvlText w:val=""/>
      <w:lvlJc w:val="left"/>
      <w:pPr>
        <w:ind w:left="6480" w:hanging="360"/>
      </w:pPr>
      <w:rPr>
        <w:rFonts w:ascii="Wingdings" w:hAnsi="Wingdings" w:hint="default"/>
      </w:rPr>
    </w:lvl>
  </w:abstractNum>
  <w:abstractNum w:abstractNumId="8" w15:restartNumberingAfterBreak="0">
    <w:nsid w:val="12976881"/>
    <w:multiLevelType w:val="hybridMultilevel"/>
    <w:tmpl w:val="E3B418D8"/>
    <w:lvl w:ilvl="0" w:tplc="8C146ACC">
      <w:start w:val="1"/>
      <w:numFmt w:val="bullet"/>
      <w:lvlText w:val=""/>
      <w:lvlJc w:val="left"/>
      <w:pPr>
        <w:ind w:left="720" w:hanging="360"/>
      </w:pPr>
      <w:rPr>
        <w:rFonts w:ascii="Symbol" w:hAnsi="Symbol" w:hint="default"/>
      </w:rPr>
    </w:lvl>
    <w:lvl w:ilvl="1" w:tplc="6F6C2638">
      <w:start w:val="1"/>
      <w:numFmt w:val="bullet"/>
      <w:lvlText w:val="•"/>
      <w:lvlJc w:val="left"/>
      <w:pPr>
        <w:ind w:left="1440" w:hanging="360"/>
      </w:pPr>
      <w:rPr>
        <w:rFonts w:ascii="Calibri" w:hAnsi="Calibri" w:hint="default"/>
        <w:b w:val="0"/>
        <w:i w:val="0"/>
        <w:sz w:val="22"/>
      </w:rPr>
    </w:lvl>
    <w:lvl w:ilvl="2" w:tplc="8CE60014">
      <w:start w:val="1"/>
      <w:numFmt w:val="bullet"/>
      <w:lvlText w:val=""/>
      <w:lvlJc w:val="left"/>
      <w:pPr>
        <w:ind w:left="2160" w:hanging="360"/>
      </w:pPr>
      <w:rPr>
        <w:rFonts w:ascii="Wingdings" w:hAnsi="Wingdings" w:hint="default"/>
      </w:rPr>
    </w:lvl>
    <w:lvl w:ilvl="3" w:tplc="584003F6">
      <w:start w:val="1"/>
      <w:numFmt w:val="bullet"/>
      <w:lvlText w:val=""/>
      <w:lvlJc w:val="left"/>
      <w:pPr>
        <w:ind w:left="2880" w:hanging="360"/>
      </w:pPr>
      <w:rPr>
        <w:rFonts w:ascii="Symbol" w:hAnsi="Symbol" w:hint="default"/>
      </w:rPr>
    </w:lvl>
    <w:lvl w:ilvl="4" w:tplc="4806A428">
      <w:start w:val="1"/>
      <w:numFmt w:val="bullet"/>
      <w:lvlText w:val="o"/>
      <w:lvlJc w:val="left"/>
      <w:pPr>
        <w:ind w:left="3600" w:hanging="360"/>
      </w:pPr>
      <w:rPr>
        <w:rFonts w:ascii="Courier New" w:hAnsi="Courier New" w:cs="Courier New" w:hint="default"/>
      </w:rPr>
    </w:lvl>
    <w:lvl w:ilvl="5" w:tplc="036216E8">
      <w:start w:val="1"/>
      <w:numFmt w:val="bullet"/>
      <w:lvlText w:val=""/>
      <w:lvlJc w:val="left"/>
      <w:pPr>
        <w:ind w:left="4320" w:hanging="360"/>
      </w:pPr>
      <w:rPr>
        <w:rFonts w:ascii="Wingdings" w:hAnsi="Wingdings" w:hint="default"/>
      </w:rPr>
    </w:lvl>
    <w:lvl w:ilvl="6" w:tplc="2B4A23F0">
      <w:start w:val="1"/>
      <w:numFmt w:val="bullet"/>
      <w:lvlText w:val=""/>
      <w:lvlJc w:val="left"/>
      <w:pPr>
        <w:ind w:left="5040" w:hanging="360"/>
      </w:pPr>
      <w:rPr>
        <w:rFonts w:ascii="Symbol" w:hAnsi="Symbol" w:hint="default"/>
      </w:rPr>
    </w:lvl>
    <w:lvl w:ilvl="7" w:tplc="1C8EF906">
      <w:start w:val="1"/>
      <w:numFmt w:val="bullet"/>
      <w:lvlText w:val="o"/>
      <w:lvlJc w:val="left"/>
      <w:pPr>
        <w:ind w:left="5760" w:hanging="360"/>
      </w:pPr>
      <w:rPr>
        <w:rFonts w:ascii="Courier New" w:hAnsi="Courier New" w:cs="Courier New" w:hint="default"/>
      </w:rPr>
    </w:lvl>
    <w:lvl w:ilvl="8" w:tplc="22D6C1F4">
      <w:start w:val="1"/>
      <w:numFmt w:val="bullet"/>
      <w:lvlText w:val=""/>
      <w:lvlJc w:val="left"/>
      <w:pPr>
        <w:ind w:left="6480" w:hanging="360"/>
      </w:pPr>
      <w:rPr>
        <w:rFonts w:ascii="Wingdings" w:hAnsi="Wingdings" w:hint="default"/>
      </w:rPr>
    </w:lvl>
  </w:abstractNum>
  <w:abstractNum w:abstractNumId="9" w15:restartNumberingAfterBreak="0">
    <w:nsid w:val="12EC1CC4"/>
    <w:multiLevelType w:val="hybridMultilevel"/>
    <w:tmpl w:val="882A26CE"/>
    <w:lvl w:ilvl="0" w:tplc="1ECE095A">
      <w:start w:val="1"/>
      <w:numFmt w:val="bullet"/>
      <w:lvlText w:val="•"/>
      <w:lvlJc w:val="left"/>
      <w:pPr>
        <w:ind w:left="720" w:hanging="360"/>
      </w:pPr>
      <w:rPr>
        <w:rFonts w:ascii="Calibri" w:hAnsi="Calibri" w:hint="default"/>
        <w:b w:val="0"/>
        <w:i w:val="0"/>
        <w:sz w:val="22"/>
      </w:rPr>
    </w:lvl>
    <w:lvl w:ilvl="1" w:tplc="4378DB18">
      <w:start w:val="1"/>
      <w:numFmt w:val="bullet"/>
      <w:lvlText w:val="o"/>
      <w:lvlJc w:val="left"/>
      <w:pPr>
        <w:ind w:left="1440" w:hanging="360"/>
      </w:pPr>
      <w:rPr>
        <w:rFonts w:ascii="Courier New" w:hAnsi="Courier New" w:cs="Courier New" w:hint="default"/>
      </w:rPr>
    </w:lvl>
    <w:lvl w:ilvl="2" w:tplc="D250E07A">
      <w:start w:val="1"/>
      <w:numFmt w:val="bullet"/>
      <w:lvlText w:val=""/>
      <w:lvlJc w:val="left"/>
      <w:pPr>
        <w:ind w:left="2160" w:hanging="360"/>
      </w:pPr>
      <w:rPr>
        <w:rFonts w:ascii="Wingdings" w:hAnsi="Wingdings" w:hint="default"/>
      </w:rPr>
    </w:lvl>
    <w:lvl w:ilvl="3" w:tplc="5650C2BC">
      <w:start w:val="1"/>
      <w:numFmt w:val="bullet"/>
      <w:lvlText w:val=""/>
      <w:lvlJc w:val="left"/>
      <w:pPr>
        <w:ind w:left="2880" w:hanging="360"/>
      </w:pPr>
      <w:rPr>
        <w:rFonts w:ascii="Symbol" w:hAnsi="Symbol" w:hint="default"/>
      </w:rPr>
    </w:lvl>
    <w:lvl w:ilvl="4" w:tplc="3E8AA6AE">
      <w:start w:val="1"/>
      <w:numFmt w:val="bullet"/>
      <w:lvlText w:val="o"/>
      <w:lvlJc w:val="left"/>
      <w:pPr>
        <w:ind w:left="3600" w:hanging="360"/>
      </w:pPr>
      <w:rPr>
        <w:rFonts w:ascii="Courier New" w:hAnsi="Courier New" w:cs="Courier New" w:hint="default"/>
      </w:rPr>
    </w:lvl>
    <w:lvl w:ilvl="5" w:tplc="04A0C138">
      <w:start w:val="1"/>
      <w:numFmt w:val="bullet"/>
      <w:lvlText w:val=""/>
      <w:lvlJc w:val="left"/>
      <w:pPr>
        <w:ind w:left="4320" w:hanging="360"/>
      </w:pPr>
      <w:rPr>
        <w:rFonts w:ascii="Wingdings" w:hAnsi="Wingdings" w:hint="default"/>
      </w:rPr>
    </w:lvl>
    <w:lvl w:ilvl="6" w:tplc="3A90025E">
      <w:start w:val="1"/>
      <w:numFmt w:val="bullet"/>
      <w:lvlText w:val=""/>
      <w:lvlJc w:val="left"/>
      <w:pPr>
        <w:ind w:left="5040" w:hanging="360"/>
      </w:pPr>
      <w:rPr>
        <w:rFonts w:ascii="Symbol" w:hAnsi="Symbol" w:hint="default"/>
      </w:rPr>
    </w:lvl>
    <w:lvl w:ilvl="7" w:tplc="0D8065AC">
      <w:start w:val="1"/>
      <w:numFmt w:val="bullet"/>
      <w:lvlText w:val="o"/>
      <w:lvlJc w:val="left"/>
      <w:pPr>
        <w:ind w:left="5760" w:hanging="360"/>
      </w:pPr>
      <w:rPr>
        <w:rFonts w:ascii="Courier New" w:hAnsi="Courier New" w:cs="Courier New" w:hint="default"/>
      </w:rPr>
    </w:lvl>
    <w:lvl w:ilvl="8" w:tplc="E87EB828">
      <w:start w:val="1"/>
      <w:numFmt w:val="bullet"/>
      <w:lvlText w:val=""/>
      <w:lvlJc w:val="left"/>
      <w:pPr>
        <w:ind w:left="6480" w:hanging="360"/>
      </w:pPr>
      <w:rPr>
        <w:rFonts w:ascii="Wingdings" w:hAnsi="Wingdings" w:hint="default"/>
      </w:rPr>
    </w:lvl>
  </w:abstractNum>
  <w:abstractNum w:abstractNumId="10" w15:restartNumberingAfterBreak="0">
    <w:nsid w:val="1402546B"/>
    <w:multiLevelType w:val="multilevel"/>
    <w:tmpl w:val="417E0332"/>
    <w:lvl w:ilvl="0">
      <w:start w:val="2"/>
      <w:numFmt w:val="decimal"/>
      <w:pStyle w:val="NASLOV14"/>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4EE3438"/>
    <w:multiLevelType w:val="hybridMultilevel"/>
    <w:tmpl w:val="31641EBA"/>
    <w:lvl w:ilvl="0" w:tplc="3B2A448A">
      <w:start w:val="1"/>
      <w:numFmt w:val="bullet"/>
      <w:lvlText w:val="•"/>
      <w:lvlJc w:val="left"/>
      <w:pPr>
        <w:ind w:left="720" w:hanging="360"/>
      </w:pPr>
      <w:rPr>
        <w:rFonts w:ascii="Calibri" w:hAnsi="Calibri" w:hint="default"/>
        <w:b w:val="0"/>
        <w:i w:val="0"/>
        <w:sz w:val="22"/>
      </w:rPr>
    </w:lvl>
    <w:lvl w:ilvl="1" w:tplc="B93CCA64">
      <w:start w:val="1"/>
      <w:numFmt w:val="bullet"/>
      <w:lvlText w:val="o"/>
      <w:lvlJc w:val="left"/>
      <w:pPr>
        <w:ind w:left="1440" w:hanging="360"/>
      </w:pPr>
      <w:rPr>
        <w:rFonts w:ascii="Courier New" w:hAnsi="Courier New" w:cs="Courier New" w:hint="default"/>
      </w:rPr>
    </w:lvl>
    <w:lvl w:ilvl="2" w:tplc="02F0F532">
      <w:start w:val="1"/>
      <w:numFmt w:val="bullet"/>
      <w:lvlText w:val=""/>
      <w:lvlJc w:val="left"/>
      <w:pPr>
        <w:ind w:left="2160" w:hanging="360"/>
      </w:pPr>
      <w:rPr>
        <w:rFonts w:ascii="Wingdings" w:hAnsi="Wingdings" w:hint="default"/>
      </w:rPr>
    </w:lvl>
    <w:lvl w:ilvl="3" w:tplc="262233A2">
      <w:start w:val="1"/>
      <w:numFmt w:val="bullet"/>
      <w:lvlText w:val=""/>
      <w:lvlJc w:val="left"/>
      <w:pPr>
        <w:ind w:left="2880" w:hanging="360"/>
      </w:pPr>
      <w:rPr>
        <w:rFonts w:ascii="Symbol" w:hAnsi="Symbol" w:hint="default"/>
      </w:rPr>
    </w:lvl>
    <w:lvl w:ilvl="4" w:tplc="41DE7330">
      <w:start w:val="1"/>
      <w:numFmt w:val="bullet"/>
      <w:lvlText w:val="o"/>
      <w:lvlJc w:val="left"/>
      <w:pPr>
        <w:ind w:left="3600" w:hanging="360"/>
      </w:pPr>
      <w:rPr>
        <w:rFonts w:ascii="Courier New" w:hAnsi="Courier New" w:cs="Courier New" w:hint="default"/>
      </w:rPr>
    </w:lvl>
    <w:lvl w:ilvl="5" w:tplc="61C8C4D0">
      <w:start w:val="1"/>
      <w:numFmt w:val="bullet"/>
      <w:lvlText w:val=""/>
      <w:lvlJc w:val="left"/>
      <w:pPr>
        <w:ind w:left="4320" w:hanging="360"/>
      </w:pPr>
      <w:rPr>
        <w:rFonts w:ascii="Wingdings" w:hAnsi="Wingdings" w:hint="default"/>
      </w:rPr>
    </w:lvl>
    <w:lvl w:ilvl="6" w:tplc="F0465310">
      <w:start w:val="1"/>
      <w:numFmt w:val="bullet"/>
      <w:lvlText w:val=""/>
      <w:lvlJc w:val="left"/>
      <w:pPr>
        <w:ind w:left="5040" w:hanging="360"/>
      </w:pPr>
      <w:rPr>
        <w:rFonts w:ascii="Symbol" w:hAnsi="Symbol" w:hint="default"/>
      </w:rPr>
    </w:lvl>
    <w:lvl w:ilvl="7" w:tplc="1A00D5BC">
      <w:start w:val="1"/>
      <w:numFmt w:val="bullet"/>
      <w:lvlText w:val="o"/>
      <w:lvlJc w:val="left"/>
      <w:pPr>
        <w:ind w:left="5760" w:hanging="360"/>
      </w:pPr>
      <w:rPr>
        <w:rFonts w:ascii="Courier New" w:hAnsi="Courier New" w:cs="Courier New" w:hint="default"/>
      </w:rPr>
    </w:lvl>
    <w:lvl w:ilvl="8" w:tplc="433E039A">
      <w:start w:val="1"/>
      <w:numFmt w:val="bullet"/>
      <w:lvlText w:val=""/>
      <w:lvlJc w:val="left"/>
      <w:pPr>
        <w:ind w:left="6480" w:hanging="360"/>
      </w:pPr>
      <w:rPr>
        <w:rFonts w:ascii="Wingdings" w:hAnsi="Wingdings" w:hint="default"/>
      </w:rPr>
    </w:lvl>
  </w:abstractNum>
  <w:abstractNum w:abstractNumId="12" w15:restartNumberingAfterBreak="0">
    <w:nsid w:val="15547261"/>
    <w:multiLevelType w:val="hybridMultilevel"/>
    <w:tmpl w:val="81B45F80"/>
    <w:lvl w:ilvl="0" w:tplc="4E2E9F3A">
      <w:start w:val="1"/>
      <w:numFmt w:val="bullet"/>
      <w:lvlText w:val="•"/>
      <w:lvlJc w:val="left"/>
      <w:pPr>
        <w:ind w:left="720" w:hanging="360"/>
      </w:pPr>
      <w:rPr>
        <w:rFonts w:ascii="Calibri" w:hAnsi="Calibri" w:hint="default"/>
        <w:b w:val="0"/>
        <w:i w:val="0"/>
        <w:sz w:val="22"/>
      </w:rPr>
    </w:lvl>
    <w:lvl w:ilvl="1" w:tplc="ED4E82F6">
      <w:start w:val="1"/>
      <w:numFmt w:val="bullet"/>
      <w:lvlText w:val="o"/>
      <w:lvlJc w:val="left"/>
      <w:pPr>
        <w:ind w:left="1440" w:hanging="360"/>
      </w:pPr>
      <w:rPr>
        <w:rFonts w:ascii="Courier New" w:hAnsi="Courier New" w:cs="Courier New" w:hint="default"/>
      </w:rPr>
    </w:lvl>
    <w:lvl w:ilvl="2" w:tplc="77C41F5C">
      <w:start w:val="1"/>
      <w:numFmt w:val="bullet"/>
      <w:lvlText w:val=""/>
      <w:lvlJc w:val="left"/>
      <w:pPr>
        <w:ind w:left="2160" w:hanging="360"/>
      </w:pPr>
      <w:rPr>
        <w:rFonts w:ascii="Wingdings" w:hAnsi="Wingdings" w:hint="default"/>
      </w:rPr>
    </w:lvl>
    <w:lvl w:ilvl="3" w:tplc="59380CA6">
      <w:start w:val="1"/>
      <w:numFmt w:val="bullet"/>
      <w:lvlText w:val=""/>
      <w:lvlJc w:val="left"/>
      <w:pPr>
        <w:ind w:left="2880" w:hanging="360"/>
      </w:pPr>
      <w:rPr>
        <w:rFonts w:ascii="Symbol" w:hAnsi="Symbol" w:hint="default"/>
      </w:rPr>
    </w:lvl>
    <w:lvl w:ilvl="4" w:tplc="A74C9388">
      <w:start w:val="1"/>
      <w:numFmt w:val="bullet"/>
      <w:lvlText w:val="o"/>
      <w:lvlJc w:val="left"/>
      <w:pPr>
        <w:ind w:left="3600" w:hanging="360"/>
      </w:pPr>
      <w:rPr>
        <w:rFonts w:ascii="Courier New" w:hAnsi="Courier New" w:cs="Courier New" w:hint="default"/>
      </w:rPr>
    </w:lvl>
    <w:lvl w:ilvl="5" w:tplc="662E692C">
      <w:start w:val="1"/>
      <w:numFmt w:val="bullet"/>
      <w:lvlText w:val=""/>
      <w:lvlJc w:val="left"/>
      <w:pPr>
        <w:ind w:left="4320" w:hanging="360"/>
      </w:pPr>
      <w:rPr>
        <w:rFonts w:ascii="Wingdings" w:hAnsi="Wingdings" w:hint="default"/>
      </w:rPr>
    </w:lvl>
    <w:lvl w:ilvl="6" w:tplc="16287B78">
      <w:start w:val="1"/>
      <w:numFmt w:val="bullet"/>
      <w:lvlText w:val=""/>
      <w:lvlJc w:val="left"/>
      <w:pPr>
        <w:ind w:left="5040" w:hanging="360"/>
      </w:pPr>
      <w:rPr>
        <w:rFonts w:ascii="Symbol" w:hAnsi="Symbol" w:hint="default"/>
      </w:rPr>
    </w:lvl>
    <w:lvl w:ilvl="7" w:tplc="2BFA9F8A">
      <w:start w:val="1"/>
      <w:numFmt w:val="bullet"/>
      <w:lvlText w:val="o"/>
      <w:lvlJc w:val="left"/>
      <w:pPr>
        <w:ind w:left="5760" w:hanging="360"/>
      </w:pPr>
      <w:rPr>
        <w:rFonts w:ascii="Courier New" w:hAnsi="Courier New" w:cs="Courier New" w:hint="default"/>
      </w:rPr>
    </w:lvl>
    <w:lvl w:ilvl="8" w:tplc="E3E8D4BA">
      <w:start w:val="1"/>
      <w:numFmt w:val="bullet"/>
      <w:lvlText w:val=""/>
      <w:lvlJc w:val="left"/>
      <w:pPr>
        <w:ind w:left="6480" w:hanging="360"/>
      </w:pPr>
      <w:rPr>
        <w:rFonts w:ascii="Wingdings" w:hAnsi="Wingdings" w:hint="default"/>
      </w:rPr>
    </w:lvl>
  </w:abstractNum>
  <w:abstractNum w:abstractNumId="13" w15:restartNumberingAfterBreak="0">
    <w:nsid w:val="172D531A"/>
    <w:multiLevelType w:val="hybridMultilevel"/>
    <w:tmpl w:val="BC709D74"/>
    <w:lvl w:ilvl="0" w:tplc="FA36AE04">
      <w:start w:val="1"/>
      <w:numFmt w:val="bullet"/>
      <w:lvlText w:val="–"/>
      <w:lvlJc w:val="left"/>
      <w:pPr>
        <w:ind w:left="720" w:hanging="360"/>
      </w:pPr>
      <w:rPr>
        <w:rFonts w:ascii="Times New Roman" w:hAnsi="Times New Roman" w:cs="Times New Roman" w:hint="default"/>
        <w:sz w:val="24"/>
        <w:szCs w:val="24"/>
      </w:rPr>
    </w:lvl>
    <w:lvl w:ilvl="1" w:tplc="711EF4FE">
      <w:start w:val="1"/>
      <w:numFmt w:val="bullet"/>
      <w:lvlText w:val="o"/>
      <w:lvlJc w:val="left"/>
      <w:pPr>
        <w:ind w:left="1440" w:hanging="360"/>
      </w:pPr>
      <w:rPr>
        <w:rFonts w:ascii="Courier New" w:hAnsi="Courier New" w:cs="Courier New" w:hint="default"/>
      </w:rPr>
    </w:lvl>
    <w:lvl w:ilvl="2" w:tplc="475E5680">
      <w:start w:val="1"/>
      <w:numFmt w:val="bullet"/>
      <w:lvlText w:val=""/>
      <w:lvlJc w:val="left"/>
      <w:pPr>
        <w:ind w:left="2160" w:hanging="360"/>
      </w:pPr>
      <w:rPr>
        <w:rFonts w:ascii="Wingdings" w:hAnsi="Wingdings" w:hint="default"/>
      </w:rPr>
    </w:lvl>
    <w:lvl w:ilvl="3" w:tplc="D5D85974">
      <w:start w:val="1"/>
      <w:numFmt w:val="bullet"/>
      <w:lvlText w:val=""/>
      <w:lvlJc w:val="left"/>
      <w:pPr>
        <w:ind w:left="2880" w:hanging="360"/>
      </w:pPr>
      <w:rPr>
        <w:rFonts w:ascii="Symbol" w:hAnsi="Symbol" w:hint="default"/>
      </w:rPr>
    </w:lvl>
    <w:lvl w:ilvl="4" w:tplc="21FE82C4">
      <w:start w:val="1"/>
      <w:numFmt w:val="bullet"/>
      <w:lvlText w:val="o"/>
      <w:lvlJc w:val="left"/>
      <w:pPr>
        <w:ind w:left="3600" w:hanging="360"/>
      </w:pPr>
      <w:rPr>
        <w:rFonts w:ascii="Courier New" w:hAnsi="Courier New" w:cs="Courier New" w:hint="default"/>
      </w:rPr>
    </w:lvl>
    <w:lvl w:ilvl="5" w:tplc="1D48B034">
      <w:start w:val="1"/>
      <w:numFmt w:val="bullet"/>
      <w:lvlText w:val=""/>
      <w:lvlJc w:val="left"/>
      <w:pPr>
        <w:ind w:left="4320" w:hanging="360"/>
      </w:pPr>
      <w:rPr>
        <w:rFonts w:ascii="Wingdings" w:hAnsi="Wingdings" w:hint="default"/>
      </w:rPr>
    </w:lvl>
    <w:lvl w:ilvl="6" w:tplc="43A6AA24">
      <w:start w:val="1"/>
      <w:numFmt w:val="bullet"/>
      <w:lvlText w:val=""/>
      <w:lvlJc w:val="left"/>
      <w:pPr>
        <w:ind w:left="5040" w:hanging="360"/>
      </w:pPr>
      <w:rPr>
        <w:rFonts w:ascii="Symbol" w:hAnsi="Symbol" w:hint="default"/>
      </w:rPr>
    </w:lvl>
    <w:lvl w:ilvl="7" w:tplc="CDA6E180">
      <w:start w:val="1"/>
      <w:numFmt w:val="bullet"/>
      <w:lvlText w:val="o"/>
      <w:lvlJc w:val="left"/>
      <w:pPr>
        <w:ind w:left="5760" w:hanging="360"/>
      </w:pPr>
      <w:rPr>
        <w:rFonts w:ascii="Courier New" w:hAnsi="Courier New" w:cs="Courier New" w:hint="default"/>
      </w:rPr>
    </w:lvl>
    <w:lvl w:ilvl="8" w:tplc="8834C2D2">
      <w:start w:val="1"/>
      <w:numFmt w:val="bullet"/>
      <w:lvlText w:val=""/>
      <w:lvlJc w:val="left"/>
      <w:pPr>
        <w:ind w:left="6480" w:hanging="360"/>
      </w:pPr>
      <w:rPr>
        <w:rFonts w:ascii="Wingdings" w:hAnsi="Wingdings" w:hint="default"/>
      </w:rPr>
    </w:lvl>
  </w:abstractNum>
  <w:abstractNum w:abstractNumId="14" w15:restartNumberingAfterBreak="0">
    <w:nsid w:val="19557926"/>
    <w:multiLevelType w:val="hybridMultilevel"/>
    <w:tmpl w:val="0CD832E6"/>
    <w:lvl w:ilvl="0" w:tplc="05AE5D9C">
      <w:start w:val="1"/>
      <w:numFmt w:val="bullet"/>
      <w:lvlText w:val="•"/>
      <w:lvlJc w:val="left"/>
      <w:pPr>
        <w:ind w:left="720" w:hanging="360"/>
      </w:pPr>
      <w:rPr>
        <w:rFonts w:ascii="Calibri" w:hAnsi="Calibri" w:hint="default"/>
        <w:b w:val="0"/>
        <w:i w:val="0"/>
        <w:sz w:val="22"/>
      </w:rPr>
    </w:lvl>
    <w:lvl w:ilvl="1" w:tplc="A3B4BBB8">
      <w:start w:val="1"/>
      <w:numFmt w:val="bullet"/>
      <w:lvlText w:val="o"/>
      <w:lvlJc w:val="left"/>
      <w:pPr>
        <w:ind w:left="1440" w:hanging="360"/>
      </w:pPr>
      <w:rPr>
        <w:rFonts w:ascii="Courier New" w:hAnsi="Courier New" w:cs="Courier New" w:hint="default"/>
      </w:rPr>
    </w:lvl>
    <w:lvl w:ilvl="2" w:tplc="3514C626">
      <w:start w:val="1"/>
      <w:numFmt w:val="bullet"/>
      <w:lvlText w:val=""/>
      <w:lvlJc w:val="left"/>
      <w:pPr>
        <w:ind w:left="2160" w:hanging="360"/>
      </w:pPr>
      <w:rPr>
        <w:rFonts w:ascii="Wingdings" w:hAnsi="Wingdings" w:hint="default"/>
      </w:rPr>
    </w:lvl>
    <w:lvl w:ilvl="3" w:tplc="135E45BE">
      <w:start w:val="1"/>
      <w:numFmt w:val="bullet"/>
      <w:lvlText w:val=""/>
      <w:lvlJc w:val="left"/>
      <w:pPr>
        <w:ind w:left="2880" w:hanging="360"/>
      </w:pPr>
      <w:rPr>
        <w:rFonts w:ascii="Symbol" w:hAnsi="Symbol" w:hint="default"/>
      </w:rPr>
    </w:lvl>
    <w:lvl w:ilvl="4" w:tplc="FCDADBD2">
      <w:start w:val="1"/>
      <w:numFmt w:val="bullet"/>
      <w:lvlText w:val="o"/>
      <w:lvlJc w:val="left"/>
      <w:pPr>
        <w:ind w:left="3600" w:hanging="360"/>
      </w:pPr>
      <w:rPr>
        <w:rFonts w:ascii="Courier New" w:hAnsi="Courier New" w:cs="Courier New" w:hint="default"/>
      </w:rPr>
    </w:lvl>
    <w:lvl w:ilvl="5" w:tplc="C0F2A352">
      <w:start w:val="1"/>
      <w:numFmt w:val="bullet"/>
      <w:lvlText w:val=""/>
      <w:lvlJc w:val="left"/>
      <w:pPr>
        <w:ind w:left="4320" w:hanging="360"/>
      </w:pPr>
      <w:rPr>
        <w:rFonts w:ascii="Wingdings" w:hAnsi="Wingdings" w:hint="default"/>
      </w:rPr>
    </w:lvl>
    <w:lvl w:ilvl="6" w:tplc="ED489B8C">
      <w:start w:val="1"/>
      <w:numFmt w:val="bullet"/>
      <w:lvlText w:val=""/>
      <w:lvlJc w:val="left"/>
      <w:pPr>
        <w:ind w:left="5040" w:hanging="360"/>
      </w:pPr>
      <w:rPr>
        <w:rFonts w:ascii="Symbol" w:hAnsi="Symbol" w:hint="default"/>
      </w:rPr>
    </w:lvl>
    <w:lvl w:ilvl="7" w:tplc="C71C19F8">
      <w:start w:val="1"/>
      <w:numFmt w:val="bullet"/>
      <w:lvlText w:val="o"/>
      <w:lvlJc w:val="left"/>
      <w:pPr>
        <w:ind w:left="5760" w:hanging="360"/>
      </w:pPr>
      <w:rPr>
        <w:rFonts w:ascii="Courier New" w:hAnsi="Courier New" w:cs="Courier New" w:hint="default"/>
      </w:rPr>
    </w:lvl>
    <w:lvl w:ilvl="8" w:tplc="BB403F08">
      <w:start w:val="1"/>
      <w:numFmt w:val="bullet"/>
      <w:lvlText w:val=""/>
      <w:lvlJc w:val="left"/>
      <w:pPr>
        <w:ind w:left="6480" w:hanging="360"/>
      </w:pPr>
      <w:rPr>
        <w:rFonts w:ascii="Wingdings" w:hAnsi="Wingdings" w:hint="default"/>
      </w:rPr>
    </w:lvl>
  </w:abstractNum>
  <w:abstractNum w:abstractNumId="15" w15:restartNumberingAfterBreak="0">
    <w:nsid w:val="1AE33ED1"/>
    <w:multiLevelType w:val="hybridMultilevel"/>
    <w:tmpl w:val="33FE22E2"/>
    <w:lvl w:ilvl="0" w:tplc="926A7B2C">
      <w:start w:val="1"/>
      <w:numFmt w:val="bullet"/>
      <w:lvlText w:val="•"/>
      <w:lvlJc w:val="left"/>
      <w:pPr>
        <w:ind w:left="720" w:hanging="360"/>
      </w:pPr>
      <w:rPr>
        <w:rFonts w:ascii="Calibri" w:hAnsi="Calibri" w:hint="default"/>
        <w:b w:val="0"/>
        <w:i w:val="0"/>
        <w:sz w:val="22"/>
      </w:rPr>
    </w:lvl>
    <w:lvl w:ilvl="1" w:tplc="D3F26622">
      <w:start w:val="1"/>
      <w:numFmt w:val="bullet"/>
      <w:lvlText w:val="o"/>
      <w:lvlJc w:val="left"/>
      <w:pPr>
        <w:ind w:left="1440" w:hanging="360"/>
      </w:pPr>
      <w:rPr>
        <w:rFonts w:ascii="Courier New" w:hAnsi="Courier New" w:cs="Courier New" w:hint="default"/>
      </w:rPr>
    </w:lvl>
    <w:lvl w:ilvl="2" w:tplc="918AFDA2">
      <w:start w:val="1"/>
      <w:numFmt w:val="bullet"/>
      <w:lvlText w:val=""/>
      <w:lvlJc w:val="left"/>
      <w:pPr>
        <w:ind w:left="2160" w:hanging="360"/>
      </w:pPr>
      <w:rPr>
        <w:rFonts w:ascii="Wingdings" w:hAnsi="Wingdings" w:hint="default"/>
      </w:rPr>
    </w:lvl>
    <w:lvl w:ilvl="3" w:tplc="B57020D0">
      <w:start w:val="1"/>
      <w:numFmt w:val="bullet"/>
      <w:lvlText w:val=""/>
      <w:lvlJc w:val="left"/>
      <w:pPr>
        <w:ind w:left="2880" w:hanging="360"/>
      </w:pPr>
      <w:rPr>
        <w:rFonts w:ascii="Symbol" w:hAnsi="Symbol" w:hint="default"/>
      </w:rPr>
    </w:lvl>
    <w:lvl w:ilvl="4" w:tplc="470640C8">
      <w:start w:val="1"/>
      <w:numFmt w:val="bullet"/>
      <w:lvlText w:val="o"/>
      <w:lvlJc w:val="left"/>
      <w:pPr>
        <w:ind w:left="3600" w:hanging="360"/>
      </w:pPr>
      <w:rPr>
        <w:rFonts w:ascii="Courier New" w:hAnsi="Courier New" w:cs="Courier New" w:hint="default"/>
      </w:rPr>
    </w:lvl>
    <w:lvl w:ilvl="5" w:tplc="C2389962">
      <w:start w:val="1"/>
      <w:numFmt w:val="bullet"/>
      <w:lvlText w:val=""/>
      <w:lvlJc w:val="left"/>
      <w:pPr>
        <w:ind w:left="4320" w:hanging="360"/>
      </w:pPr>
      <w:rPr>
        <w:rFonts w:ascii="Wingdings" w:hAnsi="Wingdings" w:hint="default"/>
      </w:rPr>
    </w:lvl>
    <w:lvl w:ilvl="6" w:tplc="E91EC100">
      <w:start w:val="1"/>
      <w:numFmt w:val="bullet"/>
      <w:lvlText w:val=""/>
      <w:lvlJc w:val="left"/>
      <w:pPr>
        <w:ind w:left="5040" w:hanging="360"/>
      </w:pPr>
      <w:rPr>
        <w:rFonts w:ascii="Symbol" w:hAnsi="Symbol" w:hint="default"/>
      </w:rPr>
    </w:lvl>
    <w:lvl w:ilvl="7" w:tplc="AD8A34A2">
      <w:start w:val="1"/>
      <w:numFmt w:val="bullet"/>
      <w:lvlText w:val="o"/>
      <w:lvlJc w:val="left"/>
      <w:pPr>
        <w:ind w:left="5760" w:hanging="360"/>
      </w:pPr>
      <w:rPr>
        <w:rFonts w:ascii="Courier New" w:hAnsi="Courier New" w:cs="Courier New" w:hint="default"/>
      </w:rPr>
    </w:lvl>
    <w:lvl w:ilvl="8" w:tplc="9EB65262">
      <w:start w:val="1"/>
      <w:numFmt w:val="bullet"/>
      <w:lvlText w:val=""/>
      <w:lvlJc w:val="left"/>
      <w:pPr>
        <w:ind w:left="6480" w:hanging="360"/>
      </w:pPr>
      <w:rPr>
        <w:rFonts w:ascii="Wingdings" w:hAnsi="Wingdings" w:hint="default"/>
      </w:rPr>
    </w:lvl>
  </w:abstractNum>
  <w:abstractNum w:abstractNumId="16" w15:restartNumberingAfterBreak="0">
    <w:nsid w:val="1CAF17EB"/>
    <w:multiLevelType w:val="hybridMultilevel"/>
    <w:tmpl w:val="A64ACF30"/>
    <w:lvl w:ilvl="0" w:tplc="0DBE91FA">
      <w:start w:val="1"/>
      <w:numFmt w:val="bullet"/>
      <w:lvlText w:val="•"/>
      <w:lvlJc w:val="left"/>
      <w:pPr>
        <w:ind w:left="720" w:hanging="360"/>
      </w:pPr>
      <w:rPr>
        <w:rFonts w:ascii="Calibri" w:hAnsi="Calibri" w:hint="default"/>
        <w:b w:val="0"/>
        <w:i w:val="0"/>
        <w:sz w:val="22"/>
      </w:rPr>
    </w:lvl>
    <w:lvl w:ilvl="1" w:tplc="9E886046">
      <w:start w:val="1"/>
      <w:numFmt w:val="bullet"/>
      <w:lvlText w:val="o"/>
      <w:lvlJc w:val="left"/>
      <w:pPr>
        <w:ind w:left="1440" w:hanging="360"/>
      </w:pPr>
      <w:rPr>
        <w:rFonts w:ascii="Courier New" w:hAnsi="Courier New" w:cs="Courier New" w:hint="default"/>
      </w:rPr>
    </w:lvl>
    <w:lvl w:ilvl="2" w:tplc="EF984DAC">
      <w:start w:val="1"/>
      <w:numFmt w:val="bullet"/>
      <w:lvlText w:val=""/>
      <w:lvlJc w:val="left"/>
      <w:pPr>
        <w:ind w:left="2160" w:hanging="360"/>
      </w:pPr>
      <w:rPr>
        <w:rFonts w:ascii="Wingdings" w:hAnsi="Wingdings" w:hint="default"/>
      </w:rPr>
    </w:lvl>
    <w:lvl w:ilvl="3" w:tplc="3BB85022">
      <w:start w:val="1"/>
      <w:numFmt w:val="bullet"/>
      <w:lvlText w:val=""/>
      <w:lvlJc w:val="left"/>
      <w:pPr>
        <w:ind w:left="2880" w:hanging="360"/>
      </w:pPr>
      <w:rPr>
        <w:rFonts w:ascii="Symbol" w:hAnsi="Symbol" w:hint="default"/>
      </w:rPr>
    </w:lvl>
    <w:lvl w:ilvl="4" w:tplc="9C7E1CEC">
      <w:start w:val="1"/>
      <w:numFmt w:val="bullet"/>
      <w:lvlText w:val="o"/>
      <w:lvlJc w:val="left"/>
      <w:pPr>
        <w:ind w:left="3600" w:hanging="360"/>
      </w:pPr>
      <w:rPr>
        <w:rFonts w:ascii="Courier New" w:hAnsi="Courier New" w:cs="Courier New" w:hint="default"/>
      </w:rPr>
    </w:lvl>
    <w:lvl w:ilvl="5" w:tplc="D18A5342">
      <w:start w:val="1"/>
      <w:numFmt w:val="bullet"/>
      <w:lvlText w:val=""/>
      <w:lvlJc w:val="left"/>
      <w:pPr>
        <w:ind w:left="4320" w:hanging="360"/>
      </w:pPr>
      <w:rPr>
        <w:rFonts w:ascii="Wingdings" w:hAnsi="Wingdings" w:hint="default"/>
      </w:rPr>
    </w:lvl>
    <w:lvl w:ilvl="6" w:tplc="941ECFAA">
      <w:start w:val="1"/>
      <w:numFmt w:val="bullet"/>
      <w:lvlText w:val=""/>
      <w:lvlJc w:val="left"/>
      <w:pPr>
        <w:ind w:left="5040" w:hanging="360"/>
      </w:pPr>
      <w:rPr>
        <w:rFonts w:ascii="Symbol" w:hAnsi="Symbol" w:hint="default"/>
      </w:rPr>
    </w:lvl>
    <w:lvl w:ilvl="7" w:tplc="474805C6">
      <w:start w:val="1"/>
      <w:numFmt w:val="bullet"/>
      <w:lvlText w:val="o"/>
      <w:lvlJc w:val="left"/>
      <w:pPr>
        <w:ind w:left="5760" w:hanging="360"/>
      </w:pPr>
      <w:rPr>
        <w:rFonts w:ascii="Courier New" w:hAnsi="Courier New" w:cs="Courier New" w:hint="default"/>
      </w:rPr>
    </w:lvl>
    <w:lvl w:ilvl="8" w:tplc="CE169F00">
      <w:start w:val="1"/>
      <w:numFmt w:val="bullet"/>
      <w:lvlText w:val=""/>
      <w:lvlJc w:val="left"/>
      <w:pPr>
        <w:ind w:left="6480" w:hanging="360"/>
      </w:pPr>
      <w:rPr>
        <w:rFonts w:ascii="Wingdings" w:hAnsi="Wingdings" w:hint="default"/>
      </w:rPr>
    </w:lvl>
  </w:abstractNum>
  <w:abstractNum w:abstractNumId="17" w15:restartNumberingAfterBreak="0">
    <w:nsid w:val="1CBC0566"/>
    <w:multiLevelType w:val="hybridMultilevel"/>
    <w:tmpl w:val="8EC0E594"/>
    <w:lvl w:ilvl="0" w:tplc="07E2BE8E">
      <w:start w:val="1"/>
      <w:numFmt w:val="bullet"/>
      <w:lvlText w:val="•"/>
      <w:lvlJc w:val="left"/>
      <w:pPr>
        <w:ind w:left="720" w:hanging="360"/>
      </w:pPr>
      <w:rPr>
        <w:rFonts w:ascii="Calibri" w:hAnsi="Calibri" w:hint="default"/>
        <w:b w:val="0"/>
        <w:i w:val="0"/>
        <w:sz w:val="22"/>
      </w:rPr>
    </w:lvl>
    <w:lvl w:ilvl="1" w:tplc="C16CE66E">
      <w:start w:val="1"/>
      <w:numFmt w:val="bullet"/>
      <w:lvlText w:val="o"/>
      <w:lvlJc w:val="left"/>
      <w:pPr>
        <w:ind w:left="1440" w:hanging="360"/>
      </w:pPr>
      <w:rPr>
        <w:rFonts w:ascii="Courier New" w:hAnsi="Courier New" w:cs="Courier New" w:hint="default"/>
      </w:rPr>
    </w:lvl>
    <w:lvl w:ilvl="2" w:tplc="C0424F38">
      <w:start w:val="1"/>
      <w:numFmt w:val="bullet"/>
      <w:lvlText w:val=""/>
      <w:lvlJc w:val="left"/>
      <w:pPr>
        <w:ind w:left="2160" w:hanging="360"/>
      </w:pPr>
      <w:rPr>
        <w:rFonts w:ascii="Wingdings" w:hAnsi="Wingdings" w:hint="default"/>
      </w:rPr>
    </w:lvl>
    <w:lvl w:ilvl="3" w:tplc="99D05C02">
      <w:start w:val="1"/>
      <w:numFmt w:val="bullet"/>
      <w:lvlText w:val=""/>
      <w:lvlJc w:val="left"/>
      <w:pPr>
        <w:ind w:left="2880" w:hanging="360"/>
      </w:pPr>
      <w:rPr>
        <w:rFonts w:ascii="Symbol" w:hAnsi="Symbol" w:hint="default"/>
      </w:rPr>
    </w:lvl>
    <w:lvl w:ilvl="4" w:tplc="56B0F3E2">
      <w:start w:val="1"/>
      <w:numFmt w:val="bullet"/>
      <w:lvlText w:val="o"/>
      <w:lvlJc w:val="left"/>
      <w:pPr>
        <w:ind w:left="3600" w:hanging="360"/>
      </w:pPr>
      <w:rPr>
        <w:rFonts w:ascii="Courier New" w:hAnsi="Courier New" w:cs="Courier New" w:hint="default"/>
      </w:rPr>
    </w:lvl>
    <w:lvl w:ilvl="5" w:tplc="EC2ABF62">
      <w:start w:val="1"/>
      <w:numFmt w:val="bullet"/>
      <w:lvlText w:val=""/>
      <w:lvlJc w:val="left"/>
      <w:pPr>
        <w:ind w:left="4320" w:hanging="360"/>
      </w:pPr>
      <w:rPr>
        <w:rFonts w:ascii="Wingdings" w:hAnsi="Wingdings" w:hint="default"/>
      </w:rPr>
    </w:lvl>
    <w:lvl w:ilvl="6" w:tplc="93245E20">
      <w:start w:val="1"/>
      <w:numFmt w:val="bullet"/>
      <w:lvlText w:val=""/>
      <w:lvlJc w:val="left"/>
      <w:pPr>
        <w:ind w:left="5040" w:hanging="360"/>
      </w:pPr>
      <w:rPr>
        <w:rFonts w:ascii="Symbol" w:hAnsi="Symbol" w:hint="default"/>
      </w:rPr>
    </w:lvl>
    <w:lvl w:ilvl="7" w:tplc="621C5D3A">
      <w:start w:val="1"/>
      <w:numFmt w:val="bullet"/>
      <w:lvlText w:val="o"/>
      <w:lvlJc w:val="left"/>
      <w:pPr>
        <w:ind w:left="5760" w:hanging="360"/>
      </w:pPr>
      <w:rPr>
        <w:rFonts w:ascii="Courier New" w:hAnsi="Courier New" w:cs="Courier New" w:hint="default"/>
      </w:rPr>
    </w:lvl>
    <w:lvl w:ilvl="8" w:tplc="D2FA76D4">
      <w:start w:val="1"/>
      <w:numFmt w:val="bullet"/>
      <w:lvlText w:val=""/>
      <w:lvlJc w:val="left"/>
      <w:pPr>
        <w:ind w:left="6480" w:hanging="360"/>
      </w:pPr>
      <w:rPr>
        <w:rFonts w:ascii="Wingdings" w:hAnsi="Wingdings" w:hint="default"/>
      </w:rPr>
    </w:lvl>
  </w:abstractNum>
  <w:abstractNum w:abstractNumId="18" w15:restartNumberingAfterBreak="0">
    <w:nsid w:val="1D230CDA"/>
    <w:multiLevelType w:val="hybridMultilevel"/>
    <w:tmpl w:val="71A8C462"/>
    <w:lvl w:ilvl="0" w:tplc="78B8D178">
      <w:start w:val="1"/>
      <w:numFmt w:val="bullet"/>
      <w:lvlText w:val="•"/>
      <w:lvlJc w:val="left"/>
      <w:pPr>
        <w:ind w:left="720" w:hanging="360"/>
      </w:pPr>
      <w:rPr>
        <w:rFonts w:ascii="Calibri" w:hAnsi="Calibri" w:hint="default"/>
        <w:b w:val="0"/>
        <w:i w:val="0"/>
        <w:sz w:val="22"/>
      </w:rPr>
    </w:lvl>
    <w:lvl w:ilvl="1" w:tplc="A6FA40DA">
      <w:start w:val="1"/>
      <w:numFmt w:val="bullet"/>
      <w:lvlText w:val="o"/>
      <w:lvlJc w:val="left"/>
      <w:pPr>
        <w:ind w:left="1440" w:hanging="360"/>
      </w:pPr>
      <w:rPr>
        <w:rFonts w:ascii="Courier New" w:hAnsi="Courier New" w:cs="Courier New" w:hint="default"/>
      </w:rPr>
    </w:lvl>
    <w:lvl w:ilvl="2" w:tplc="5CF0C092">
      <w:start w:val="1"/>
      <w:numFmt w:val="bullet"/>
      <w:lvlText w:val=""/>
      <w:lvlJc w:val="left"/>
      <w:pPr>
        <w:ind w:left="2160" w:hanging="360"/>
      </w:pPr>
      <w:rPr>
        <w:rFonts w:ascii="Wingdings" w:hAnsi="Wingdings" w:hint="default"/>
      </w:rPr>
    </w:lvl>
    <w:lvl w:ilvl="3" w:tplc="35928308">
      <w:start w:val="1"/>
      <w:numFmt w:val="bullet"/>
      <w:lvlText w:val=""/>
      <w:lvlJc w:val="left"/>
      <w:pPr>
        <w:ind w:left="2880" w:hanging="360"/>
      </w:pPr>
      <w:rPr>
        <w:rFonts w:ascii="Symbol" w:hAnsi="Symbol" w:hint="default"/>
      </w:rPr>
    </w:lvl>
    <w:lvl w:ilvl="4" w:tplc="4FFC0A94">
      <w:start w:val="1"/>
      <w:numFmt w:val="bullet"/>
      <w:lvlText w:val="o"/>
      <w:lvlJc w:val="left"/>
      <w:pPr>
        <w:ind w:left="3600" w:hanging="360"/>
      </w:pPr>
      <w:rPr>
        <w:rFonts w:ascii="Courier New" w:hAnsi="Courier New" w:cs="Courier New" w:hint="default"/>
      </w:rPr>
    </w:lvl>
    <w:lvl w:ilvl="5" w:tplc="3E50E560">
      <w:start w:val="1"/>
      <w:numFmt w:val="bullet"/>
      <w:lvlText w:val=""/>
      <w:lvlJc w:val="left"/>
      <w:pPr>
        <w:ind w:left="4320" w:hanging="360"/>
      </w:pPr>
      <w:rPr>
        <w:rFonts w:ascii="Wingdings" w:hAnsi="Wingdings" w:hint="default"/>
      </w:rPr>
    </w:lvl>
    <w:lvl w:ilvl="6" w:tplc="2DDE007E">
      <w:start w:val="1"/>
      <w:numFmt w:val="bullet"/>
      <w:lvlText w:val=""/>
      <w:lvlJc w:val="left"/>
      <w:pPr>
        <w:ind w:left="5040" w:hanging="360"/>
      </w:pPr>
      <w:rPr>
        <w:rFonts w:ascii="Symbol" w:hAnsi="Symbol" w:hint="default"/>
      </w:rPr>
    </w:lvl>
    <w:lvl w:ilvl="7" w:tplc="53C05BAC">
      <w:start w:val="1"/>
      <w:numFmt w:val="bullet"/>
      <w:lvlText w:val="o"/>
      <w:lvlJc w:val="left"/>
      <w:pPr>
        <w:ind w:left="5760" w:hanging="360"/>
      </w:pPr>
      <w:rPr>
        <w:rFonts w:ascii="Courier New" w:hAnsi="Courier New" w:cs="Courier New" w:hint="default"/>
      </w:rPr>
    </w:lvl>
    <w:lvl w:ilvl="8" w:tplc="663A18EE">
      <w:start w:val="1"/>
      <w:numFmt w:val="bullet"/>
      <w:lvlText w:val=""/>
      <w:lvlJc w:val="left"/>
      <w:pPr>
        <w:ind w:left="6480" w:hanging="360"/>
      </w:pPr>
      <w:rPr>
        <w:rFonts w:ascii="Wingdings" w:hAnsi="Wingdings" w:hint="default"/>
      </w:rPr>
    </w:lvl>
  </w:abstractNum>
  <w:abstractNum w:abstractNumId="19" w15:restartNumberingAfterBreak="0">
    <w:nsid w:val="1DD06E17"/>
    <w:multiLevelType w:val="hybridMultilevel"/>
    <w:tmpl w:val="4EF46B56"/>
    <w:lvl w:ilvl="0" w:tplc="3BC8CA78">
      <w:start w:val="1"/>
      <w:numFmt w:val="bullet"/>
      <w:lvlText w:val="•"/>
      <w:lvlJc w:val="left"/>
      <w:pPr>
        <w:ind w:left="720" w:hanging="360"/>
      </w:pPr>
      <w:rPr>
        <w:rFonts w:ascii="Calibri" w:hAnsi="Calibri" w:hint="default"/>
        <w:b w:val="0"/>
        <w:i w:val="0"/>
        <w:sz w:val="22"/>
      </w:rPr>
    </w:lvl>
    <w:lvl w:ilvl="1" w:tplc="0232BB6E">
      <w:start w:val="1"/>
      <w:numFmt w:val="bullet"/>
      <w:lvlText w:val="o"/>
      <w:lvlJc w:val="left"/>
      <w:pPr>
        <w:ind w:left="1440" w:hanging="360"/>
      </w:pPr>
      <w:rPr>
        <w:rFonts w:ascii="Courier New" w:hAnsi="Courier New" w:cs="Courier New" w:hint="default"/>
      </w:rPr>
    </w:lvl>
    <w:lvl w:ilvl="2" w:tplc="DC74DA3C">
      <w:start w:val="1"/>
      <w:numFmt w:val="bullet"/>
      <w:lvlText w:val=""/>
      <w:lvlJc w:val="left"/>
      <w:pPr>
        <w:ind w:left="2160" w:hanging="360"/>
      </w:pPr>
      <w:rPr>
        <w:rFonts w:ascii="Wingdings" w:hAnsi="Wingdings" w:hint="default"/>
      </w:rPr>
    </w:lvl>
    <w:lvl w:ilvl="3" w:tplc="F26A7948">
      <w:start w:val="1"/>
      <w:numFmt w:val="bullet"/>
      <w:lvlText w:val=""/>
      <w:lvlJc w:val="left"/>
      <w:pPr>
        <w:ind w:left="2880" w:hanging="360"/>
      </w:pPr>
      <w:rPr>
        <w:rFonts w:ascii="Symbol" w:hAnsi="Symbol" w:hint="default"/>
      </w:rPr>
    </w:lvl>
    <w:lvl w:ilvl="4" w:tplc="50AEB46C">
      <w:start w:val="1"/>
      <w:numFmt w:val="bullet"/>
      <w:lvlText w:val="o"/>
      <w:lvlJc w:val="left"/>
      <w:pPr>
        <w:ind w:left="3600" w:hanging="360"/>
      </w:pPr>
      <w:rPr>
        <w:rFonts w:ascii="Courier New" w:hAnsi="Courier New" w:cs="Courier New" w:hint="default"/>
      </w:rPr>
    </w:lvl>
    <w:lvl w:ilvl="5" w:tplc="13728040">
      <w:start w:val="1"/>
      <w:numFmt w:val="bullet"/>
      <w:lvlText w:val=""/>
      <w:lvlJc w:val="left"/>
      <w:pPr>
        <w:ind w:left="4320" w:hanging="360"/>
      </w:pPr>
      <w:rPr>
        <w:rFonts w:ascii="Wingdings" w:hAnsi="Wingdings" w:hint="default"/>
      </w:rPr>
    </w:lvl>
    <w:lvl w:ilvl="6" w:tplc="8C74BA6C">
      <w:start w:val="1"/>
      <w:numFmt w:val="bullet"/>
      <w:lvlText w:val=""/>
      <w:lvlJc w:val="left"/>
      <w:pPr>
        <w:ind w:left="5040" w:hanging="360"/>
      </w:pPr>
      <w:rPr>
        <w:rFonts w:ascii="Symbol" w:hAnsi="Symbol" w:hint="default"/>
      </w:rPr>
    </w:lvl>
    <w:lvl w:ilvl="7" w:tplc="777098EC">
      <w:start w:val="1"/>
      <w:numFmt w:val="bullet"/>
      <w:lvlText w:val="o"/>
      <w:lvlJc w:val="left"/>
      <w:pPr>
        <w:ind w:left="5760" w:hanging="360"/>
      </w:pPr>
      <w:rPr>
        <w:rFonts w:ascii="Courier New" w:hAnsi="Courier New" w:cs="Courier New" w:hint="default"/>
      </w:rPr>
    </w:lvl>
    <w:lvl w:ilvl="8" w:tplc="44DCFA98">
      <w:start w:val="1"/>
      <w:numFmt w:val="bullet"/>
      <w:lvlText w:val=""/>
      <w:lvlJc w:val="left"/>
      <w:pPr>
        <w:ind w:left="6480" w:hanging="360"/>
      </w:pPr>
      <w:rPr>
        <w:rFonts w:ascii="Wingdings" w:hAnsi="Wingdings" w:hint="default"/>
      </w:rPr>
    </w:lvl>
  </w:abstractNum>
  <w:abstractNum w:abstractNumId="20" w15:restartNumberingAfterBreak="0">
    <w:nsid w:val="1E211998"/>
    <w:multiLevelType w:val="multilevel"/>
    <w:tmpl w:val="14FEAEE8"/>
    <w:styleLink w:val="naslovimultilvl"/>
    <w:lvl w:ilvl="0">
      <w:start w:val="1"/>
      <w:numFmt w:val="decimal"/>
      <w:pStyle w:val="naslovimultilvl"/>
      <w:lvlText w:val="%1."/>
      <w:lvlJc w:val="left"/>
      <w:pPr>
        <w:ind w:left="567" w:hanging="567"/>
      </w:pPr>
      <w:rPr>
        <w:rFonts w:ascii="Segoe UI" w:hAnsi="Segoe UI"/>
        <w:color w:val="003F71"/>
        <w:sz w:val="40"/>
      </w:rPr>
    </w:lvl>
    <w:lvl w:ilvl="1">
      <w:start w:val="1"/>
      <w:numFmt w:val="decimal"/>
      <w:lvlText w:val="%1.%2."/>
      <w:lvlJc w:val="left"/>
      <w:pPr>
        <w:ind w:left="567" w:hanging="567"/>
      </w:pPr>
      <w:rPr>
        <w:rFonts w:ascii="Segoe UI" w:hAnsi="Segoe UI" w:hint="default"/>
        <w:color w:val="003F71"/>
        <w:sz w:val="28"/>
      </w:rPr>
    </w:lvl>
    <w:lvl w:ilvl="2">
      <w:start w:val="1"/>
      <w:numFmt w:val="decimal"/>
      <w:lvlText w:val="%1.%2.%3."/>
      <w:lvlJc w:val="left"/>
      <w:pPr>
        <w:ind w:left="737" w:hanging="737"/>
      </w:pPr>
      <w:rPr>
        <w:rFonts w:ascii="Segoe UI" w:hAnsi="Segoe UI" w:hint="default"/>
        <w:color w:val="003F71"/>
        <w:sz w:val="24"/>
      </w:rPr>
    </w:lvl>
    <w:lvl w:ilvl="3">
      <w:start w:val="1"/>
      <w:numFmt w:val="decimal"/>
      <w:lvlText w:val="%1.%2.%3.%4."/>
      <w:lvlJc w:val="left"/>
      <w:pPr>
        <w:ind w:left="1730" w:hanging="737"/>
      </w:pPr>
      <w:rPr>
        <w:rFonts w:ascii="Segoe UI" w:hAnsi="Segoe UI" w:hint="default"/>
        <w:color w:val="003F71"/>
        <w:sz w:val="20"/>
      </w:rPr>
    </w:lvl>
    <w:lvl w:ilvl="4">
      <w:start w:val="1"/>
      <w:numFmt w:val="decimal"/>
      <w:lvlText w:val="%1.%2.%3.%4.%5."/>
      <w:lvlJc w:val="left"/>
      <w:pPr>
        <w:ind w:left="4394" w:hanging="794"/>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21" w15:restartNumberingAfterBreak="0">
    <w:nsid w:val="21043D9A"/>
    <w:multiLevelType w:val="hybridMultilevel"/>
    <w:tmpl w:val="154C81C8"/>
    <w:lvl w:ilvl="0" w:tplc="3E386184">
      <w:start w:val="1"/>
      <w:numFmt w:val="bullet"/>
      <w:lvlText w:val=""/>
      <w:lvlJc w:val="left"/>
      <w:pPr>
        <w:ind w:left="720" w:hanging="360"/>
      </w:pPr>
      <w:rPr>
        <w:rFonts w:ascii="Symbol" w:hAnsi="Symbol" w:hint="default"/>
      </w:rPr>
    </w:lvl>
    <w:lvl w:ilvl="1" w:tplc="A056878C">
      <w:start w:val="1"/>
      <w:numFmt w:val="bullet"/>
      <w:lvlText w:val="o"/>
      <w:lvlJc w:val="left"/>
      <w:pPr>
        <w:ind w:left="1440" w:hanging="360"/>
      </w:pPr>
      <w:rPr>
        <w:rFonts w:ascii="Courier New" w:hAnsi="Courier New" w:cs="Courier New" w:hint="default"/>
      </w:rPr>
    </w:lvl>
    <w:lvl w:ilvl="2" w:tplc="9620AF66">
      <w:start w:val="1"/>
      <w:numFmt w:val="bullet"/>
      <w:lvlText w:val=""/>
      <w:lvlJc w:val="left"/>
      <w:pPr>
        <w:ind w:left="2160" w:hanging="360"/>
      </w:pPr>
      <w:rPr>
        <w:rFonts w:ascii="Wingdings" w:hAnsi="Wingdings" w:cs="Wingdings" w:hint="default"/>
      </w:rPr>
    </w:lvl>
    <w:lvl w:ilvl="3" w:tplc="48204686">
      <w:start w:val="1"/>
      <w:numFmt w:val="bullet"/>
      <w:lvlText w:val=""/>
      <w:lvlJc w:val="left"/>
      <w:pPr>
        <w:ind w:left="2880" w:hanging="360"/>
      </w:pPr>
      <w:rPr>
        <w:rFonts w:ascii="Symbol" w:hAnsi="Symbol" w:cs="Symbol" w:hint="default"/>
      </w:rPr>
    </w:lvl>
    <w:lvl w:ilvl="4" w:tplc="D890BF64">
      <w:start w:val="1"/>
      <w:numFmt w:val="bullet"/>
      <w:lvlText w:val="o"/>
      <w:lvlJc w:val="left"/>
      <w:pPr>
        <w:ind w:left="3600" w:hanging="360"/>
      </w:pPr>
      <w:rPr>
        <w:rFonts w:ascii="Courier New" w:hAnsi="Courier New" w:cs="Courier New" w:hint="default"/>
      </w:rPr>
    </w:lvl>
    <w:lvl w:ilvl="5" w:tplc="D4E8465A">
      <w:start w:val="1"/>
      <w:numFmt w:val="bullet"/>
      <w:lvlText w:val=""/>
      <w:lvlJc w:val="left"/>
      <w:pPr>
        <w:ind w:left="4320" w:hanging="360"/>
      </w:pPr>
      <w:rPr>
        <w:rFonts w:ascii="Wingdings" w:hAnsi="Wingdings" w:cs="Wingdings" w:hint="default"/>
      </w:rPr>
    </w:lvl>
    <w:lvl w:ilvl="6" w:tplc="366C470A">
      <w:start w:val="1"/>
      <w:numFmt w:val="bullet"/>
      <w:lvlText w:val=""/>
      <w:lvlJc w:val="left"/>
      <w:pPr>
        <w:ind w:left="5040" w:hanging="360"/>
      </w:pPr>
      <w:rPr>
        <w:rFonts w:ascii="Symbol" w:hAnsi="Symbol" w:cs="Symbol" w:hint="default"/>
      </w:rPr>
    </w:lvl>
    <w:lvl w:ilvl="7" w:tplc="96943032">
      <w:start w:val="1"/>
      <w:numFmt w:val="bullet"/>
      <w:lvlText w:val="o"/>
      <w:lvlJc w:val="left"/>
      <w:pPr>
        <w:ind w:left="5760" w:hanging="360"/>
      </w:pPr>
      <w:rPr>
        <w:rFonts w:ascii="Courier New" w:hAnsi="Courier New" w:cs="Courier New" w:hint="default"/>
      </w:rPr>
    </w:lvl>
    <w:lvl w:ilvl="8" w:tplc="4828B120">
      <w:start w:val="1"/>
      <w:numFmt w:val="bullet"/>
      <w:lvlText w:val=""/>
      <w:lvlJc w:val="left"/>
      <w:pPr>
        <w:ind w:left="6480" w:hanging="360"/>
      </w:pPr>
      <w:rPr>
        <w:rFonts w:ascii="Wingdings" w:hAnsi="Wingdings" w:cs="Wingdings" w:hint="default"/>
      </w:rPr>
    </w:lvl>
  </w:abstractNum>
  <w:abstractNum w:abstractNumId="22" w15:restartNumberingAfterBreak="0">
    <w:nsid w:val="21B0146B"/>
    <w:multiLevelType w:val="hybridMultilevel"/>
    <w:tmpl w:val="230C0220"/>
    <w:lvl w:ilvl="0" w:tplc="F57E9226">
      <w:start w:val="1"/>
      <w:numFmt w:val="bullet"/>
      <w:lvlText w:val="•"/>
      <w:lvlJc w:val="left"/>
      <w:pPr>
        <w:ind w:left="1428" w:hanging="360"/>
      </w:pPr>
      <w:rPr>
        <w:rFonts w:ascii="Calibri" w:hAnsi="Calibri" w:hint="default"/>
        <w:b w:val="0"/>
        <w:i w:val="0"/>
        <w:sz w:val="22"/>
      </w:rPr>
    </w:lvl>
    <w:lvl w:ilvl="1" w:tplc="51D484E4">
      <w:start w:val="1"/>
      <w:numFmt w:val="bullet"/>
      <w:lvlText w:val="o"/>
      <w:lvlJc w:val="left"/>
      <w:pPr>
        <w:ind w:left="2148" w:hanging="360"/>
      </w:pPr>
      <w:rPr>
        <w:rFonts w:ascii="Courier New" w:hAnsi="Courier New" w:cs="Courier New" w:hint="default"/>
      </w:rPr>
    </w:lvl>
    <w:lvl w:ilvl="2" w:tplc="9D6CE2A8">
      <w:start w:val="1"/>
      <w:numFmt w:val="bullet"/>
      <w:lvlText w:val=""/>
      <w:lvlJc w:val="left"/>
      <w:pPr>
        <w:ind w:left="2868" w:hanging="360"/>
      </w:pPr>
      <w:rPr>
        <w:rFonts w:ascii="Wingdings" w:hAnsi="Wingdings" w:hint="default"/>
      </w:rPr>
    </w:lvl>
    <w:lvl w:ilvl="3" w:tplc="C8BC8C42">
      <w:start w:val="1"/>
      <w:numFmt w:val="bullet"/>
      <w:lvlText w:val=""/>
      <w:lvlJc w:val="left"/>
      <w:pPr>
        <w:ind w:left="3588" w:hanging="360"/>
      </w:pPr>
      <w:rPr>
        <w:rFonts w:ascii="Symbol" w:hAnsi="Symbol" w:hint="default"/>
      </w:rPr>
    </w:lvl>
    <w:lvl w:ilvl="4" w:tplc="6802AEFE">
      <w:start w:val="1"/>
      <w:numFmt w:val="bullet"/>
      <w:lvlText w:val="o"/>
      <w:lvlJc w:val="left"/>
      <w:pPr>
        <w:ind w:left="4308" w:hanging="360"/>
      </w:pPr>
      <w:rPr>
        <w:rFonts w:ascii="Courier New" w:hAnsi="Courier New" w:cs="Courier New" w:hint="default"/>
      </w:rPr>
    </w:lvl>
    <w:lvl w:ilvl="5" w:tplc="F2E26E48">
      <w:start w:val="1"/>
      <w:numFmt w:val="bullet"/>
      <w:lvlText w:val=""/>
      <w:lvlJc w:val="left"/>
      <w:pPr>
        <w:ind w:left="5028" w:hanging="360"/>
      </w:pPr>
      <w:rPr>
        <w:rFonts w:ascii="Wingdings" w:hAnsi="Wingdings" w:hint="default"/>
      </w:rPr>
    </w:lvl>
    <w:lvl w:ilvl="6" w:tplc="23CCB5AA">
      <w:start w:val="1"/>
      <w:numFmt w:val="bullet"/>
      <w:lvlText w:val=""/>
      <w:lvlJc w:val="left"/>
      <w:pPr>
        <w:ind w:left="5748" w:hanging="360"/>
      </w:pPr>
      <w:rPr>
        <w:rFonts w:ascii="Symbol" w:hAnsi="Symbol" w:hint="default"/>
      </w:rPr>
    </w:lvl>
    <w:lvl w:ilvl="7" w:tplc="D570D5C4">
      <w:start w:val="1"/>
      <w:numFmt w:val="bullet"/>
      <w:lvlText w:val="o"/>
      <w:lvlJc w:val="left"/>
      <w:pPr>
        <w:ind w:left="6468" w:hanging="360"/>
      </w:pPr>
      <w:rPr>
        <w:rFonts w:ascii="Courier New" w:hAnsi="Courier New" w:cs="Courier New" w:hint="default"/>
      </w:rPr>
    </w:lvl>
    <w:lvl w:ilvl="8" w:tplc="42A64B1A">
      <w:start w:val="1"/>
      <w:numFmt w:val="bullet"/>
      <w:lvlText w:val=""/>
      <w:lvlJc w:val="left"/>
      <w:pPr>
        <w:ind w:left="7188" w:hanging="360"/>
      </w:pPr>
      <w:rPr>
        <w:rFonts w:ascii="Wingdings" w:hAnsi="Wingdings" w:hint="default"/>
      </w:rPr>
    </w:lvl>
  </w:abstractNum>
  <w:abstractNum w:abstractNumId="23" w15:restartNumberingAfterBreak="0">
    <w:nsid w:val="21EC21A9"/>
    <w:multiLevelType w:val="hybridMultilevel"/>
    <w:tmpl w:val="F0720458"/>
    <w:lvl w:ilvl="0" w:tplc="DE38A522">
      <w:start w:val="1"/>
      <w:numFmt w:val="bullet"/>
      <w:lvlText w:val=""/>
      <w:lvlJc w:val="left"/>
      <w:pPr>
        <w:ind w:left="720" w:hanging="360"/>
      </w:pPr>
      <w:rPr>
        <w:rFonts w:ascii="Symbol" w:hAnsi="Symbol" w:hint="default"/>
      </w:rPr>
    </w:lvl>
    <w:lvl w:ilvl="1" w:tplc="803879D4">
      <w:start w:val="1"/>
      <w:numFmt w:val="bullet"/>
      <w:lvlText w:val="o"/>
      <w:lvlJc w:val="left"/>
      <w:pPr>
        <w:ind w:left="1440" w:hanging="360"/>
      </w:pPr>
      <w:rPr>
        <w:rFonts w:ascii="Courier New" w:hAnsi="Courier New" w:cs="Courier New" w:hint="default"/>
      </w:rPr>
    </w:lvl>
    <w:lvl w:ilvl="2" w:tplc="4D66AED2">
      <w:start w:val="1"/>
      <w:numFmt w:val="bullet"/>
      <w:lvlText w:val=""/>
      <w:lvlJc w:val="left"/>
      <w:pPr>
        <w:ind w:left="2160" w:hanging="360"/>
      </w:pPr>
      <w:rPr>
        <w:rFonts w:ascii="Wingdings" w:hAnsi="Wingdings" w:hint="default"/>
      </w:rPr>
    </w:lvl>
    <w:lvl w:ilvl="3" w:tplc="31086D96">
      <w:start w:val="1"/>
      <w:numFmt w:val="bullet"/>
      <w:lvlText w:val=""/>
      <w:lvlJc w:val="left"/>
      <w:pPr>
        <w:ind w:left="2880" w:hanging="360"/>
      </w:pPr>
      <w:rPr>
        <w:rFonts w:ascii="Symbol" w:hAnsi="Symbol" w:hint="default"/>
      </w:rPr>
    </w:lvl>
    <w:lvl w:ilvl="4" w:tplc="9DDC9F78">
      <w:start w:val="1"/>
      <w:numFmt w:val="bullet"/>
      <w:lvlText w:val="o"/>
      <w:lvlJc w:val="left"/>
      <w:pPr>
        <w:ind w:left="3600" w:hanging="360"/>
      </w:pPr>
      <w:rPr>
        <w:rFonts w:ascii="Courier New" w:hAnsi="Courier New" w:cs="Courier New" w:hint="default"/>
      </w:rPr>
    </w:lvl>
    <w:lvl w:ilvl="5" w:tplc="4F0CF880">
      <w:start w:val="1"/>
      <w:numFmt w:val="bullet"/>
      <w:lvlText w:val=""/>
      <w:lvlJc w:val="left"/>
      <w:pPr>
        <w:ind w:left="4320" w:hanging="360"/>
      </w:pPr>
      <w:rPr>
        <w:rFonts w:ascii="Wingdings" w:hAnsi="Wingdings" w:hint="default"/>
      </w:rPr>
    </w:lvl>
    <w:lvl w:ilvl="6" w:tplc="DA1AC9B8">
      <w:start w:val="1"/>
      <w:numFmt w:val="bullet"/>
      <w:lvlText w:val=""/>
      <w:lvlJc w:val="left"/>
      <w:pPr>
        <w:ind w:left="5040" w:hanging="360"/>
      </w:pPr>
      <w:rPr>
        <w:rFonts w:ascii="Symbol" w:hAnsi="Symbol" w:hint="default"/>
      </w:rPr>
    </w:lvl>
    <w:lvl w:ilvl="7" w:tplc="22F0990E">
      <w:start w:val="1"/>
      <w:numFmt w:val="bullet"/>
      <w:lvlText w:val="o"/>
      <w:lvlJc w:val="left"/>
      <w:pPr>
        <w:ind w:left="5760" w:hanging="360"/>
      </w:pPr>
      <w:rPr>
        <w:rFonts w:ascii="Courier New" w:hAnsi="Courier New" w:cs="Courier New" w:hint="default"/>
      </w:rPr>
    </w:lvl>
    <w:lvl w:ilvl="8" w:tplc="395A8726">
      <w:start w:val="1"/>
      <w:numFmt w:val="bullet"/>
      <w:lvlText w:val=""/>
      <w:lvlJc w:val="left"/>
      <w:pPr>
        <w:ind w:left="6480" w:hanging="360"/>
      </w:pPr>
      <w:rPr>
        <w:rFonts w:ascii="Wingdings" w:hAnsi="Wingdings" w:hint="default"/>
      </w:rPr>
    </w:lvl>
  </w:abstractNum>
  <w:abstractNum w:abstractNumId="24" w15:restartNumberingAfterBreak="0">
    <w:nsid w:val="22C51300"/>
    <w:multiLevelType w:val="hybridMultilevel"/>
    <w:tmpl w:val="3B081866"/>
    <w:lvl w:ilvl="0" w:tplc="7F5C7F5C">
      <w:start w:val="1"/>
      <w:numFmt w:val="bullet"/>
      <w:lvlText w:val=""/>
      <w:lvlJc w:val="left"/>
      <w:pPr>
        <w:ind w:left="720" w:hanging="360"/>
      </w:pPr>
      <w:rPr>
        <w:rFonts w:ascii="Symbol" w:hAnsi="Symbol" w:hint="default"/>
        <w:b w:val="0"/>
        <w:i w:val="0"/>
        <w:sz w:val="22"/>
      </w:rPr>
    </w:lvl>
    <w:lvl w:ilvl="1" w:tplc="65B4180E">
      <w:start w:val="1"/>
      <w:numFmt w:val="bullet"/>
      <w:lvlText w:val="o"/>
      <w:lvlJc w:val="left"/>
      <w:pPr>
        <w:ind w:left="1440" w:hanging="360"/>
      </w:pPr>
      <w:rPr>
        <w:rFonts w:ascii="Courier New" w:hAnsi="Courier New" w:cs="Courier New" w:hint="default"/>
      </w:rPr>
    </w:lvl>
    <w:lvl w:ilvl="2" w:tplc="1C9CD434">
      <w:start w:val="1"/>
      <w:numFmt w:val="bullet"/>
      <w:lvlText w:val=""/>
      <w:lvlJc w:val="left"/>
      <w:pPr>
        <w:ind w:left="2160" w:hanging="360"/>
      </w:pPr>
      <w:rPr>
        <w:rFonts w:ascii="Wingdings" w:hAnsi="Wingdings" w:hint="default"/>
      </w:rPr>
    </w:lvl>
    <w:lvl w:ilvl="3" w:tplc="54E4446E">
      <w:start w:val="1"/>
      <w:numFmt w:val="bullet"/>
      <w:lvlText w:val=""/>
      <w:lvlJc w:val="left"/>
      <w:pPr>
        <w:ind w:left="2880" w:hanging="360"/>
      </w:pPr>
      <w:rPr>
        <w:rFonts w:ascii="Symbol" w:hAnsi="Symbol" w:hint="default"/>
      </w:rPr>
    </w:lvl>
    <w:lvl w:ilvl="4" w:tplc="AFBC5658">
      <w:start w:val="1"/>
      <w:numFmt w:val="bullet"/>
      <w:lvlText w:val="o"/>
      <w:lvlJc w:val="left"/>
      <w:pPr>
        <w:ind w:left="3600" w:hanging="360"/>
      </w:pPr>
      <w:rPr>
        <w:rFonts w:ascii="Courier New" w:hAnsi="Courier New" w:cs="Courier New" w:hint="default"/>
      </w:rPr>
    </w:lvl>
    <w:lvl w:ilvl="5" w:tplc="078245EC">
      <w:start w:val="1"/>
      <w:numFmt w:val="bullet"/>
      <w:lvlText w:val=""/>
      <w:lvlJc w:val="left"/>
      <w:pPr>
        <w:ind w:left="4320" w:hanging="360"/>
      </w:pPr>
      <w:rPr>
        <w:rFonts w:ascii="Wingdings" w:hAnsi="Wingdings" w:hint="default"/>
      </w:rPr>
    </w:lvl>
    <w:lvl w:ilvl="6" w:tplc="D8E43C3E">
      <w:start w:val="1"/>
      <w:numFmt w:val="bullet"/>
      <w:lvlText w:val=""/>
      <w:lvlJc w:val="left"/>
      <w:pPr>
        <w:ind w:left="5040" w:hanging="360"/>
      </w:pPr>
      <w:rPr>
        <w:rFonts w:ascii="Symbol" w:hAnsi="Symbol" w:hint="default"/>
      </w:rPr>
    </w:lvl>
    <w:lvl w:ilvl="7" w:tplc="78804190">
      <w:start w:val="1"/>
      <w:numFmt w:val="bullet"/>
      <w:lvlText w:val="o"/>
      <w:lvlJc w:val="left"/>
      <w:pPr>
        <w:ind w:left="5760" w:hanging="360"/>
      </w:pPr>
      <w:rPr>
        <w:rFonts w:ascii="Courier New" w:hAnsi="Courier New" w:cs="Courier New" w:hint="default"/>
      </w:rPr>
    </w:lvl>
    <w:lvl w:ilvl="8" w:tplc="AA4A784C">
      <w:start w:val="1"/>
      <w:numFmt w:val="bullet"/>
      <w:lvlText w:val=""/>
      <w:lvlJc w:val="left"/>
      <w:pPr>
        <w:ind w:left="6480" w:hanging="360"/>
      </w:pPr>
      <w:rPr>
        <w:rFonts w:ascii="Wingdings" w:hAnsi="Wingdings" w:hint="default"/>
      </w:rPr>
    </w:lvl>
  </w:abstractNum>
  <w:abstractNum w:abstractNumId="25" w15:restartNumberingAfterBreak="0">
    <w:nsid w:val="2301278F"/>
    <w:multiLevelType w:val="hybridMultilevel"/>
    <w:tmpl w:val="BBE4B4AA"/>
    <w:lvl w:ilvl="0" w:tplc="7C1EF38A">
      <w:start w:val="1"/>
      <w:numFmt w:val="bullet"/>
      <w:lvlText w:val="•"/>
      <w:lvlJc w:val="left"/>
      <w:pPr>
        <w:ind w:left="720" w:hanging="360"/>
      </w:pPr>
      <w:rPr>
        <w:rFonts w:ascii="Calibri" w:hAnsi="Calibri" w:hint="default"/>
        <w:b w:val="0"/>
        <w:i w:val="0"/>
        <w:sz w:val="22"/>
      </w:rPr>
    </w:lvl>
    <w:lvl w:ilvl="1" w:tplc="A38CE036">
      <w:start w:val="1"/>
      <w:numFmt w:val="bullet"/>
      <w:lvlText w:val="o"/>
      <w:lvlJc w:val="left"/>
      <w:pPr>
        <w:ind w:left="1440" w:hanging="360"/>
      </w:pPr>
      <w:rPr>
        <w:rFonts w:ascii="Courier New" w:hAnsi="Courier New" w:cs="Courier New" w:hint="default"/>
      </w:rPr>
    </w:lvl>
    <w:lvl w:ilvl="2" w:tplc="3A1EFB82">
      <w:start w:val="1"/>
      <w:numFmt w:val="bullet"/>
      <w:lvlText w:val=""/>
      <w:lvlJc w:val="left"/>
      <w:pPr>
        <w:ind w:left="2160" w:hanging="360"/>
      </w:pPr>
      <w:rPr>
        <w:rFonts w:ascii="Wingdings" w:hAnsi="Wingdings" w:hint="default"/>
      </w:rPr>
    </w:lvl>
    <w:lvl w:ilvl="3" w:tplc="7584E604">
      <w:start w:val="1"/>
      <w:numFmt w:val="bullet"/>
      <w:lvlText w:val=""/>
      <w:lvlJc w:val="left"/>
      <w:pPr>
        <w:ind w:left="2880" w:hanging="360"/>
      </w:pPr>
      <w:rPr>
        <w:rFonts w:ascii="Symbol" w:hAnsi="Symbol" w:hint="default"/>
      </w:rPr>
    </w:lvl>
    <w:lvl w:ilvl="4" w:tplc="E8D6099E">
      <w:start w:val="1"/>
      <w:numFmt w:val="bullet"/>
      <w:lvlText w:val="o"/>
      <w:lvlJc w:val="left"/>
      <w:pPr>
        <w:ind w:left="3600" w:hanging="360"/>
      </w:pPr>
      <w:rPr>
        <w:rFonts w:ascii="Courier New" w:hAnsi="Courier New" w:cs="Courier New" w:hint="default"/>
      </w:rPr>
    </w:lvl>
    <w:lvl w:ilvl="5" w:tplc="4B5EEA5A">
      <w:start w:val="1"/>
      <w:numFmt w:val="bullet"/>
      <w:lvlText w:val=""/>
      <w:lvlJc w:val="left"/>
      <w:pPr>
        <w:ind w:left="4320" w:hanging="360"/>
      </w:pPr>
      <w:rPr>
        <w:rFonts w:ascii="Wingdings" w:hAnsi="Wingdings" w:hint="default"/>
      </w:rPr>
    </w:lvl>
    <w:lvl w:ilvl="6" w:tplc="1CDA289E">
      <w:start w:val="1"/>
      <w:numFmt w:val="bullet"/>
      <w:lvlText w:val=""/>
      <w:lvlJc w:val="left"/>
      <w:pPr>
        <w:ind w:left="5040" w:hanging="360"/>
      </w:pPr>
      <w:rPr>
        <w:rFonts w:ascii="Symbol" w:hAnsi="Symbol" w:hint="default"/>
      </w:rPr>
    </w:lvl>
    <w:lvl w:ilvl="7" w:tplc="7C24DB90">
      <w:start w:val="1"/>
      <w:numFmt w:val="bullet"/>
      <w:lvlText w:val="o"/>
      <w:lvlJc w:val="left"/>
      <w:pPr>
        <w:ind w:left="5760" w:hanging="360"/>
      </w:pPr>
      <w:rPr>
        <w:rFonts w:ascii="Courier New" w:hAnsi="Courier New" w:cs="Courier New" w:hint="default"/>
      </w:rPr>
    </w:lvl>
    <w:lvl w:ilvl="8" w:tplc="A17A56F4">
      <w:start w:val="1"/>
      <w:numFmt w:val="bullet"/>
      <w:lvlText w:val=""/>
      <w:lvlJc w:val="left"/>
      <w:pPr>
        <w:ind w:left="6480" w:hanging="360"/>
      </w:pPr>
      <w:rPr>
        <w:rFonts w:ascii="Wingdings" w:hAnsi="Wingdings" w:hint="default"/>
      </w:rPr>
    </w:lvl>
  </w:abstractNum>
  <w:abstractNum w:abstractNumId="26" w15:restartNumberingAfterBreak="0">
    <w:nsid w:val="23454713"/>
    <w:multiLevelType w:val="hybridMultilevel"/>
    <w:tmpl w:val="B57E2BAC"/>
    <w:lvl w:ilvl="0" w:tplc="D876BE64">
      <w:start w:val="1"/>
      <w:numFmt w:val="bullet"/>
      <w:lvlText w:val="•"/>
      <w:lvlJc w:val="left"/>
      <w:pPr>
        <w:ind w:left="720" w:hanging="360"/>
      </w:pPr>
      <w:rPr>
        <w:rFonts w:ascii="Calibri" w:hAnsi="Calibri" w:hint="default"/>
        <w:b w:val="0"/>
        <w:i w:val="0"/>
        <w:sz w:val="22"/>
      </w:rPr>
    </w:lvl>
    <w:lvl w:ilvl="1" w:tplc="BC0CB734">
      <w:start w:val="1"/>
      <w:numFmt w:val="bullet"/>
      <w:lvlText w:val="o"/>
      <w:lvlJc w:val="left"/>
      <w:pPr>
        <w:ind w:left="1440" w:hanging="360"/>
      </w:pPr>
      <w:rPr>
        <w:rFonts w:ascii="Courier New" w:hAnsi="Courier New" w:cs="Courier New" w:hint="default"/>
      </w:rPr>
    </w:lvl>
    <w:lvl w:ilvl="2" w:tplc="E86C1728">
      <w:start w:val="1"/>
      <w:numFmt w:val="bullet"/>
      <w:lvlText w:val=""/>
      <w:lvlJc w:val="left"/>
      <w:pPr>
        <w:ind w:left="2160" w:hanging="360"/>
      </w:pPr>
      <w:rPr>
        <w:rFonts w:ascii="Wingdings" w:hAnsi="Wingdings" w:hint="default"/>
      </w:rPr>
    </w:lvl>
    <w:lvl w:ilvl="3" w:tplc="D42AC5C4">
      <w:start w:val="1"/>
      <w:numFmt w:val="bullet"/>
      <w:lvlText w:val=""/>
      <w:lvlJc w:val="left"/>
      <w:pPr>
        <w:ind w:left="2880" w:hanging="360"/>
      </w:pPr>
      <w:rPr>
        <w:rFonts w:ascii="Symbol" w:hAnsi="Symbol" w:hint="default"/>
      </w:rPr>
    </w:lvl>
    <w:lvl w:ilvl="4" w:tplc="84E4C85A">
      <w:start w:val="1"/>
      <w:numFmt w:val="bullet"/>
      <w:lvlText w:val="o"/>
      <w:lvlJc w:val="left"/>
      <w:pPr>
        <w:ind w:left="3600" w:hanging="360"/>
      </w:pPr>
      <w:rPr>
        <w:rFonts w:ascii="Courier New" w:hAnsi="Courier New" w:cs="Courier New" w:hint="default"/>
      </w:rPr>
    </w:lvl>
    <w:lvl w:ilvl="5" w:tplc="D8AE4B7E">
      <w:start w:val="1"/>
      <w:numFmt w:val="bullet"/>
      <w:lvlText w:val=""/>
      <w:lvlJc w:val="left"/>
      <w:pPr>
        <w:ind w:left="4320" w:hanging="360"/>
      </w:pPr>
      <w:rPr>
        <w:rFonts w:ascii="Wingdings" w:hAnsi="Wingdings" w:hint="default"/>
      </w:rPr>
    </w:lvl>
    <w:lvl w:ilvl="6" w:tplc="8072FB64">
      <w:start w:val="1"/>
      <w:numFmt w:val="bullet"/>
      <w:lvlText w:val=""/>
      <w:lvlJc w:val="left"/>
      <w:pPr>
        <w:ind w:left="5040" w:hanging="360"/>
      </w:pPr>
      <w:rPr>
        <w:rFonts w:ascii="Symbol" w:hAnsi="Symbol" w:hint="default"/>
      </w:rPr>
    </w:lvl>
    <w:lvl w:ilvl="7" w:tplc="AF4699F2">
      <w:start w:val="1"/>
      <w:numFmt w:val="bullet"/>
      <w:lvlText w:val="o"/>
      <w:lvlJc w:val="left"/>
      <w:pPr>
        <w:ind w:left="5760" w:hanging="360"/>
      </w:pPr>
      <w:rPr>
        <w:rFonts w:ascii="Courier New" w:hAnsi="Courier New" w:cs="Courier New" w:hint="default"/>
      </w:rPr>
    </w:lvl>
    <w:lvl w:ilvl="8" w:tplc="68B8D570">
      <w:start w:val="1"/>
      <w:numFmt w:val="bullet"/>
      <w:lvlText w:val=""/>
      <w:lvlJc w:val="left"/>
      <w:pPr>
        <w:ind w:left="6480" w:hanging="360"/>
      </w:pPr>
      <w:rPr>
        <w:rFonts w:ascii="Wingdings" w:hAnsi="Wingdings" w:hint="default"/>
      </w:rPr>
    </w:lvl>
  </w:abstractNum>
  <w:abstractNum w:abstractNumId="27" w15:restartNumberingAfterBreak="0">
    <w:nsid w:val="267E7784"/>
    <w:multiLevelType w:val="hybridMultilevel"/>
    <w:tmpl w:val="BA527462"/>
    <w:lvl w:ilvl="0" w:tplc="69FEBDC0">
      <w:start w:val="1"/>
      <w:numFmt w:val="bullet"/>
      <w:lvlText w:val="•"/>
      <w:lvlJc w:val="left"/>
      <w:pPr>
        <w:ind w:left="720" w:hanging="360"/>
      </w:pPr>
      <w:rPr>
        <w:rFonts w:ascii="Calibri" w:hAnsi="Calibri" w:hint="default"/>
        <w:b w:val="0"/>
        <w:i w:val="0"/>
        <w:sz w:val="22"/>
      </w:rPr>
    </w:lvl>
    <w:lvl w:ilvl="1" w:tplc="DDCECC2C">
      <w:start w:val="1"/>
      <w:numFmt w:val="bullet"/>
      <w:lvlText w:val="o"/>
      <w:lvlJc w:val="left"/>
      <w:pPr>
        <w:ind w:left="1440" w:hanging="360"/>
      </w:pPr>
      <w:rPr>
        <w:rFonts w:ascii="Courier New" w:hAnsi="Courier New" w:cs="Courier New" w:hint="default"/>
      </w:rPr>
    </w:lvl>
    <w:lvl w:ilvl="2" w:tplc="4A26E938">
      <w:start w:val="1"/>
      <w:numFmt w:val="bullet"/>
      <w:lvlText w:val=""/>
      <w:lvlJc w:val="left"/>
      <w:pPr>
        <w:ind w:left="2160" w:hanging="360"/>
      </w:pPr>
      <w:rPr>
        <w:rFonts w:ascii="Wingdings" w:hAnsi="Wingdings" w:hint="default"/>
      </w:rPr>
    </w:lvl>
    <w:lvl w:ilvl="3" w:tplc="A4B4307C">
      <w:start w:val="1"/>
      <w:numFmt w:val="bullet"/>
      <w:lvlText w:val=""/>
      <w:lvlJc w:val="left"/>
      <w:pPr>
        <w:ind w:left="2880" w:hanging="360"/>
      </w:pPr>
      <w:rPr>
        <w:rFonts w:ascii="Symbol" w:hAnsi="Symbol" w:hint="default"/>
      </w:rPr>
    </w:lvl>
    <w:lvl w:ilvl="4" w:tplc="6444FA42">
      <w:start w:val="1"/>
      <w:numFmt w:val="bullet"/>
      <w:lvlText w:val="o"/>
      <w:lvlJc w:val="left"/>
      <w:pPr>
        <w:ind w:left="3600" w:hanging="360"/>
      </w:pPr>
      <w:rPr>
        <w:rFonts w:ascii="Courier New" w:hAnsi="Courier New" w:cs="Courier New" w:hint="default"/>
      </w:rPr>
    </w:lvl>
    <w:lvl w:ilvl="5" w:tplc="5740AEC6">
      <w:start w:val="1"/>
      <w:numFmt w:val="bullet"/>
      <w:lvlText w:val=""/>
      <w:lvlJc w:val="left"/>
      <w:pPr>
        <w:ind w:left="4320" w:hanging="360"/>
      </w:pPr>
      <w:rPr>
        <w:rFonts w:ascii="Wingdings" w:hAnsi="Wingdings" w:hint="default"/>
      </w:rPr>
    </w:lvl>
    <w:lvl w:ilvl="6" w:tplc="4DB82464">
      <w:start w:val="1"/>
      <w:numFmt w:val="bullet"/>
      <w:lvlText w:val=""/>
      <w:lvlJc w:val="left"/>
      <w:pPr>
        <w:ind w:left="5040" w:hanging="360"/>
      </w:pPr>
      <w:rPr>
        <w:rFonts w:ascii="Symbol" w:hAnsi="Symbol" w:hint="default"/>
      </w:rPr>
    </w:lvl>
    <w:lvl w:ilvl="7" w:tplc="91DE930E">
      <w:start w:val="1"/>
      <w:numFmt w:val="bullet"/>
      <w:lvlText w:val="o"/>
      <w:lvlJc w:val="left"/>
      <w:pPr>
        <w:ind w:left="5760" w:hanging="360"/>
      </w:pPr>
      <w:rPr>
        <w:rFonts w:ascii="Courier New" w:hAnsi="Courier New" w:cs="Courier New" w:hint="default"/>
      </w:rPr>
    </w:lvl>
    <w:lvl w:ilvl="8" w:tplc="1EC48BC4">
      <w:start w:val="1"/>
      <w:numFmt w:val="bullet"/>
      <w:lvlText w:val=""/>
      <w:lvlJc w:val="left"/>
      <w:pPr>
        <w:ind w:left="6480" w:hanging="360"/>
      </w:pPr>
      <w:rPr>
        <w:rFonts w:ascii="Wingdings" w:hAnsi="Wingdings" w:hint="default"/>
      </w:rPr>
    </w:lvl>
  </w:abstractNum>
  <w:abstractNum w:abstractNumId="28" w15:restartNumberingAfterBreak="0">
    <w:nsid w:val="26BB1515"/>
    <w:multiLevelType w:val="hybridMultilevel"/>
    <w:tmpl w:val="E420351E"/>
    <w:lvl w:ilvl="0" w:tplc="0A885FBE">
      <w:start w:val="1"/>
      <w:numFmt w:val="bullet"/>
      <w:lvlText w:val="•"/>
      <w:lvlJc w:val="left"/>
      <w:pPr>
        <w:ind w:left="720" w:hanging="360"/>
      </w:pPr>
      <w:rPr>
        <w:rFonts w:ascii="Calibri" w:hAnsi="Calibri" w:hint="default"/>
        <w:b w:val="0"/>
        <w:i w:val="0"/>
        <w:sz w:val="22"/>
      </w:rPr>
    </w:lvl>
    <w:lvl w:ilvl="1" w:tplc="85847C60">
      <w:start w:val="1"/>
      <w:numFmt w:val="bullet"/>
      <w:lvlText w:val="o"/>
      <w:lvlJc w:val="left"/>
      <w:pPr>
        <w:ind w:left="1440" w:hanging="360"/>
      </w:pPr>
      <w:rPr>
        <w:rFonts w:ascii="Courier New" w:hAnsi="Courier New" w:cs="Courier New" w:hint="default"/>
      </w:rPr>
    </w:lvl>
    <w:lvl w:ilvl="2" w:tplc="0A302D00">
      <w:start w:val="1"/>
      <w:numFmt w:val="bullet"/>
      <w:lvlText w:val=""/>
      <w:lvlJc w:val="left"/>
      <w:pPr>
        <w:ind w:left="2160" w:hanging="360"/>
      </w:pPr>
      <w:rPr>
        <w:rFonts w:ascii="Wingdings" w:hAnsi="Wingdings" w:hint="default"/>
      </w:rPr>
    </w:lvl>
    <w:lvl w:ilvl="3" w:tplc="A5CAC75C">
      <w:start w:val="1"/>
      <w:numFmt w:val="bullet"/>
      <w:lvlText w:val=""/>
      <w:lvlJc w:val="left"/>
      <w:pPr>
        <w:ind w:left="2880" w:hanging="360"/>
      </w:pPr>
      <w:rPr>
        <w:rFonts w:ascii="Symbol" w:hAnsi="Symbol" w:hint="default"/>
      </w:rPr>
    </w:lvl>
    <w:lvl w:ilvl="4" w:tplc="D2EE6EFA">
      <w:start w:val="1"/>
      <w:numFmt w:val="bullet"/>
      <w:lvlText w:val="o"/>
      <w:lvlJc w:val="left"/>
      <w:pPr>
        <w:ind w:left="3600" w:hanging="360"/>
      </w:pPr>
      <w:rPr>
        <w:rFonts w:ascii="Courier New" w:hAnsi="Courier New" w:cs="Courier New" w:hint="default"/>
      </w:rPr>
    </w:lvl>
    <w:lvl w:ilvl="5" w:tplc="C51A06EA">
      <w:start w:val="1"/>
      <w:numFmt w:val="bullet"/>
      <w:lvlText w:val=""/>
      <w:lvlJc w:val="left"/>
      <w:pPr>
        <w:ind w:left="4320" w:hanging="360"/>
      </w:pPr>
      <w:rPr>
        <w:rFonts w:ascii="Wingdings" w:hAnsi="Wingdings" w:hint="default"/>
      </w:rPr>
    </w:lvl>
    <w:lvl w:ilvl="6" w:tplc="8FFE898E">
      <w:start w:val="1"/>
      <w:numFmt w:val="bullet"/>
      <w:lvlText w:val=""/>
      <w:lvlJc w:val="left"/>
      <w:pPr>
        <w:ind w:left="5040" w:hanging="360"/>
      </w:pPr>
      <w:rPr>
        <w:rFonts w:ascii="Symbol" w:hAnsi="Symbol" w:hint="default"/>
      </w:rPr>
    </w:lvl>
    <w:lvl w:ilvl="7" w:tplc="AECA314C">
      <w:start w:val="1"/>
      <w:numFmt w:val="bullet"/>
      <w:lvlText w:val="o"/>
      <w:lvlJc w:val="left"/>
      <w:pPr>
        <w:ind w:left="5760" w:hanging="360"/>
      </w:pPr>
      <w:rPr>
        <w:rFonts w:ascii="Courier New" w:hAnsi="Courier New" w:cs="Courier New" w:hint="default"/>
      </w:rPr>
    </w:lvl>
    <w:lvl w:ilvl="8" w:tplc="97D68A5A">
      <w:start w:val="1"/>
      <w:numFmt w:val="bullet"/>
      <w:lvlText w:val=""/>
      <w:lvlJc w:val="left"/>
      <w:pPr>
        <w:ind w:left="6480" w:hanging="360"/>
      </w:pPr>
      <w:rPr>
        <w:rFonts w:ascii="Wingdings" w:hAnsi="Wingdings" w:hint="default"/>
      </w:rPr>
    </w:lvl>
  </w:abstractNum>
  <w:abstractNum w:abstractNumId="29" w15:restartNumberingAfterBreak="0">
    <w:nsid w:val="278B3D17"/>
    <w:multiLevelType w:val="hybridMultilevel"/>
    <w:tmpl w:val="BFF0CB12"/>
    <w:lvl w:ilvl="0" w:tplc="0D5020DC">
      <w:start w:val="1"/>
      <w:numFmt w:val="bullet"/>
      <w:lvlText w:val="•"/>
      <w:lvlJc w:val="left"/>
      <w:pPr>
        <w:ind w:left="720" w:hanging="360"/>
      </w:pPr>
      <w:rPr>
        <w:rFonts w:ascii="Calibri" w:hAnsi="Calibri" w:hint="default"/>
        <w:b w:val="0"/>
        <w:i w:val="0"/>
        <w:sz w:val="22"/>
      </w:rPr>
    </w:lvl>
    <w:lvl w:ilvl="1" w:tplc="03AE657C">
      <w:start w:val="1"/>
      <w:numFmt w:val="bullet"/>
      <w:lvlText w:val="o"/>
      <w:lvlJc w:val="left"/>
      <w:pPr>
        <w:ind w:left="1440" w:hanging="360"/>
      </w:pPr>
      <w:rPr>
        <w:rFonts w:ascii="Courier New" w:hAnsi="Courier New" w:cs="Courier New" w:hint="default"/>
      </w:rPr>
    </w:lvl>
    <w:lvl w:ilvl="2" w:tplc="A16668C8">
      <w:start w:val="1"/>
      <w:numFmt w:val="bullet"/>
      <w:lvlText w:val=""/>
      <w:lvlJc w:val="left"/>
      <w:pPr>
        <w:ind w:left="2160" w:hanging="360"/>
      </w:pPr>
      <w:rPr>
        <w:rFonts w:ascii="Wingdings" w:hAnsi="Wingdings" w:hint="default"/>
      </w:rPr>
    </w:lvl>
    <w:lvl w:ilvl="3" w:tplc="23E6B01A">
      <w:start w:val="1"/>
      <w:numFmt w:val="bullet"/>
      <w:lvlText w:val=""/>
      <w:lvlJc w:val="left"/>
      <w:pPr>
        <w:ind w:left="2880" w:hanging="360"/>
      </w:pPr>
      <w:rPr>
        <w:rFonts w:ascii="Symbol" w:hAnsi="Symbol" w:hint="default"/>
      </w:rPr>
    </w:lvl>
    <w:lvl w:ilvl="4" w:tplc="4DE23812">
      <w:start w:val="1"/>
      <w:numFmt w:val="bullet"/>
      <w:lvlText w:val="o"/>
      <w:lvlJc w:val="left"/>
      <w:pPr>
        <w:ind w:left="3600" w:hanging="360"/>
      </w:pPr>
      <w:rPr>
        <w:rFonts w:ascii="Courier New" w:hAnsi="Courier New" w:cs="Courier New" w:hint="default"/>
      </w:rPr>
    </w:lvl>
    <w:lvl w:ilvl="5" w:tplc="780CE3BA">
      <w:start w:val="1"/>
      <w:numFmt w:val="bullet"/>
      <w:lvlText w:val=""/>
      <w:lvlJc w:val="left"/>
      <w:pPr>
        <w:ind w:left="4320" w:hanging="360"/>
      </w:pPr>
      <w:rPr>
        <w:rFonts w:ascii="Wingdings" w:hAnsi="Wingdings" w:hint="default"/>
      </w:rPr>
    </w:lvl>
    <w:lvl w:ilvl="6" w:tplc="FC5AB8E2">
      <w:start w:val="1"/>
      <w:numFmt w:val="bullet"/>
      <w:lvlText w:val=""/>
      <w:lvlJc w:val="left"/>
      <w:pPr>
        <w:ind w:left="5040" w:hanging="360"/>
      </w:pPr>
      <w:rPr>
        <w:rFonts w:ascii="Symbol" w:hAnsi="Symbol" w:hint="default"/>
      </w:rPr>
    </w:lvl>
    <w:lvl w:ilvl="7" w:tplc="26CA7C9A">
      <w:start w:val="1"/>
      <w:numFmt w:val="bullet"/>
      <w:lvlText w:val="o"/>
      <w:lvlJc w:val="left"/>
      <w:pPr>
        <w:ind w:left="5760" w:hanging="360"/>
      </w:pPr>
      <w:rPr>
        <w:rFonts w:ascii="Courier New" w:hAnsi="Courier New" w:cs="Courier New" w:hint="default"/>
      </w:rPr>
    </w:lvl>
    <w:lvl w:ilvl="8" w:tplc="B3F2C8FC">
      <w:start w:val="1"/>
      <w:numFmt w:val="bullet"/>
      <w:lvlText w:val=""/>
      <w:lvlJc w:val="left"/>
      <w:pPr>
        <w:ind w:left="6480" w:hanging="360"/>
      </w:pPr>
      <w:rPr>
        <w:rFonts w:ascii="Wingdings" w:hAnsi="Wingdings" w:hint="default"/>
      </w:rPr>
    </w:lvl>
  </w:abstractNum>
  <w:abstractNum w:abstractNumId="30" w15:restartNumberingAfterBreak="0">
    <w:nsid w:val="27966AFB"/>
    <w:multiLevelType w:val="hybridMultilevel"/>
    <w:tmpl w:val="EAA417BC"/>
    <w:lvl w:ilvl="0" w:tplc="D9EA8810">
      <w:start w:val="1"/>
      <w:numFmt w:val="bullet"/>
      <w:lvlText w:val=""/>
      <w:lvlJc w:val="left"/>
      <w:pPr>
        <w:ind w:left="720" w:hanging="360"/>
      </w:pPr>
      <w:rPr>
        <w:rFonts w:ascii="Symbol" w:hAnsi="Symbol" w:hint="default"/>
      </w:rPr>
    </w:lvl>
    <w:lvl w:ilvl="1" w:tplc="41664680">
      <w:start w:val="1"/>
      <w:numFmt w:val="bullet"/>
      <w:lvlText w:val="o"/>
      <w:lvlJc w:val="left"/>
      <w:pPr>
        <w:ind w:left="1440" w:hanging="360"/>
      </w:pPr>
      <w:rPr>
        <w:rFonts w:ascii="Courier New" w:hAnsi="Courier New" w:cs="Courier New" w:hint="default"/>
      </w:rPr>
    </w:lvl>
    <w:lvl w:ilvl="2" w:tplc="253CCA0C">
      <w:start w:val="1"/>
      <w:numFmt w:val="bullet"/>
      <w:lvlText w:val=""/>
      <w:lvlJc w:val="left"/>
      <w:pPr>
        <w:ind w:left="2160" w:hanging="360"/>
      </w:pPr>
      <w:rPr>
        <w:rFonts w:ascii="Wingdings" w:hAnsi="Wingdings" w:hint="default"/>
      </w:rPr>
    </w:lvl>
    <w:lvl w:ilvl="3" w:tplc="E4EE0086">
      <w:start w:val="1"/>
      <w:numFmt w:val="bullet"/>
      <w:lvlText w:val=""/>
      <w:lvlJc w:val="left"/>
      <w:pPr>
        <w:ind w:left="2880" w:hanging="360"/>
      </w:pPr>
      <w:rPr>
        <w:rFonts w:ascii="Symbol" w:hAnsi="Symbol" w:hint="default"/>
      </w:rPr>
    </w:lvl>
    <w:lvl w:ilvl="4" w:tplc="554CAC86">
      <w:start w:val="1"/>
      <w:numFmt w:val="bullet"/>
      <w:lvlText w:val="o"/>
      <w:lvlJc w:val="left"/>
      <w:pPr>
        <w:ind w:left="3600" w:hanging="360"/>
      </w:pPr>
      <w:rPr>
        <w:rFonts w:ascii="Courier New" w:hAnsi="Courier New" w:cs="Courier New" w:hint="default"/>
      </w:rPr>
    </w:lvl>
    <w:lvl w:ilvl="5" w:tplc="2AB4C5E2">
      <w:start w:val="1"/>
      <w:numFmt w:val="bullet"/>
      <w:lvlText w:val=""/>
      <w:lvlJc w:val="left"/>
      <w:pPr>
        <w:ind w:left="4320" w:hanging="360"/>
      </w:pPr>
      <w:rPr>
        <w:rFonts w:ascii="Wingdings" w:hAnsi="Wingdings" w:hint="default"/>
      </w:rPr>
    </w:lvl>
    <w:lvl w:ilvl="6" w:tplc="F0B6FFAA">
      <w:start w:val="1"/>
      <w:numFmt w:val="bullet"/>
      <w:lvlText w:val=""/>
      <w:lvlJc w:val="left"/>
      <w:pPr>
        <w:ind w:left="5040" w:hanging="360"/>
      </w:pPr>
      <w:rPr>
        <w:rFonts w:ascii="Symbol" w:hAnsi="Symbol" w:hint="default"/>
      </w:rPr>
    </w:lvl>
    <w:lvl w:ilvl="7" w:tplc="C53C0300">
      <w:start w:val="1"/>
      <w:numFmt w:val="bullet"/>
      <w:lvlText w:val="o"/>
      <w:lvlJc w:val="left"/>
      <w:pPr>
        <w:ind w:left="5760" w:hanging="360"/>
      </w:pPr>
      <w:rPr>
        <w:rFonts w:ascii="Courier New" w:hAnsi="Courier New" w:cs="Courier New" w:hint="default"/>
      </w:rPr>
    </w:lvl>
    <w:lvl w:ilvl="8" w:tplc="7E8E9546">
      <w:start w:val="1"/>
      <w:numFmt w:val="bullet"/>
      <w:lvlText w:val=""/>
      <w:lvlJc w:val="left"/>
      <w:pPr>
        <w:ind w:left="6480" w:hanging="360"/>
      </w:pPr>
      <w:rPr>
        <w:rFonts w:ascii="Wingdings" w:hAnsi="Wingdings" w:hint="default"/>
      </w:rPr>
    </w:lvl>
  </w:abstractNum>
  <w:abstractNum w:abstractNumId="31" w15:restartNumberingAfterBreak="0">
    <w:nsid w:val="28143BC6"/>
    <w:multiLevelType w:val="hybridMultilevel"/>
    <w:tmpl w:val="90906570"/>
    <w:lvl w:ilvl="0" w:tplc="EA3E0DDA">
      <w:start w:val="1"/>
      <w:numFmt w:val="bullet"/>
      <w:lvlText w:val="•"/>
      <w:lvlJc w:val="left"/>
      <w:pPr>
        <w:ind w:left="720" w:hanging="360"/>
      </w:pPr>
      <w:rPr>
        <w:rFonts w:ascii="Calibri" w:hAnsi="Calibri" w:hint="default"/>
        <w:b w:val="0"/>
        <w:i w:val="0"/>
        <w:sz w:val="22"/>
      </w:rPr>
    </w:lvl>
    <w:lvl w:ilvl="1" w:tplc="BD804F78">
      <w:start w:val="1"/>
      <w:numFmt w:val="bullet"/>
      <w:lvlText w:val="o"/>
      <w:lvlJc w:val="left"/>
      <w:pPr>
        <w:ind w:left="1440" w:hanging="360"/>
      </w:pPr>
      <w:rPr>
        <w:rFonts w:ascii="Courier New" w:hAnsi="Courier New" w:cs="Courier New" w:hint="default"/>
      </w:rPr>
    </w:lvl>
    <w:lvl w:ilvl="2" w:tplc="4822A71E">
      <w:start w:val="1"/>
      <w:numFmt w:val="bullet"/>
      <w:lvlText w:val=""/>
      <w:lvlJc w:val="left"/>
      <w:pPr>
        <w:ind w:left="2160" w:hanging="360"/>
      </w:pPr>
      <w:rPr>
        <w:rFonts w:ascii="Wingdings" w:hAnsi="Wingdings" w:hint="default"/>
      </w:rPr>
    </w:lvl>
    <w:lvl w:ilvl="3" w:tplc="C3B454C0">
      <w:start w:val="1"/>
      <w:numFmt w:val="bullet"/>
      <w:lvlText w:val=""/>
      <w:lvlJc w:val="left"/>
      <w:pPr>
        <w:ind w:left="2880" w:hanging="360"/>
      </w:pPr>
      <w:rPr>
        <w:rFonts w:ascii="Symbol" w:hAnsi="Symbol" w:hint="default"/>
      </w:rPr>
    </w:lvl>
    <w:lvl w:ilvl="4" w:tplc="B590C3C2">
      <w:start w:val="1"/>
      <w:numFmt w:val="bullet"/>
      <w:lvlText w:val="o"/>
      <w:lvlJc w:val="left"/>
      <w:pPr>
        <w:ind w:left="3600" w:hanging="360"/>
      </w:pPr>
      <w:rPr>
        <w:rFonts w:ascii="Courier New" w:hAnsi="Courier New" w:cs="Courier New" w:hint="default"/>
      </w:rPr>
    </w:lvl>
    <w:lvl w:ilvl="5" w:tplc="62E67550">
      <w:start w:val="1"/>
      <w:numFmt w:val="bullet"/>
      <w:lvlText w:val=""/>
      <w:lvlJc w:val="left"/>
      <w:pPr>
        <w:ind w:left="4320" w:hanging="360"/>
      </w:pPr>
      <w:rPr>
        <w:rFonts w:ascii="Wingdings" w:hAnsi="Wingdings" w:hint="default"/>
      </w:rPr>
    </w:lvl>
    <w:lvl w:ilvl="6" w:tplc="0F00F41C">
      <w:start w:val="1"/>
      <w:numFmt w:val="bullet"/>
      <w:lvlText w:val=""/>
      <w:lvlJc w:val="left"/>
      <w:pPr>
        <w:ind w:left="5040" w:hanging="360"/>
      </w:pPr>
      <w:rPr>
        <w:rFonts w:ascii="Symbol" w:hAnsi="Symbol" w:hint="default"/>
      </w:rPr>
    </w:lvl>
    <w:lvl w:ilvl="7" w:tplc="5B227EA8">
      <w:start w:val="1"/>
      <w:numFmt w:val="bullet"/>
      <w:lvlText w:val="o"/>
      <w:lvlJc w:val="left"/>
      <w:pPr>
        <w:ind w:left="5760" w:hanging="360"/>
      </w:pPr>
      <w:rPr>
        <w:rFonts w:ascii="Courier New" w:hAnsi="Courier New" w:cs="Courier New" w:hint="default"/>
      </w:rPr>
    </w:lvl>
    <w:lvl w:ilvl="8" w:tplc="5C7EA87E">
      <w:start w:val="1"/>
      <w:numFmt w:val="bullet"/>
      <w:lvlText w:val=""/>
      <w:lvlJc w:val="left"/>
      <w:pPr>
        <w:ind w:left="6480" w:hanging="360"/>
      </w:pPr>
      <w:rPr>
        <w:rFonts w:ascii="Wingdings" w:hAnsi="Wingdings" w:hint="default"/>
      </w:rPr>
    </w:lvl>
  </w:abstractNum>
  <w:abstractNum w:abstractNumId="32" w15:restartNumberingAfterBreak="0">
    <w:nsid w:val="2B0809D9"/>
    <w:multiLevelType w:val="hybridMultilevel"/>
    <w:tmpl w:val="03D20FD8"/>
    <w:lvl w:ilvl="0" w:tplc="1FE01A42">
      <w:start w:val="1"/>
      <w:numFmt w:val="bullet"/>
      <w:lvlText w:val="•"/>
      <w:lvlJc w:val="left"/>
      <w:pPr>
        <w:ind w:left="720" w:hanging="360"/>
      </w:pPr>
      <w:rPr>
        <w:rFonts w:ascii="Calibri" w:hAnsi="Calibri" w:hint="default"/>
        <w:b w:val="0"/>
        <w:i w:val="0"/>
        <w:sz w:val="22"/>
      </w:rPr>
    </w:lvl>
    <w:lvl w:ilvl="1" w:tplc="C79EAD5A">
      <w:start w:val="1"/>
      <w:numFmt w:val="bullet"/>
      <w:lvlText w:val="o"/>
      <w:lvlJc w:val="left"/>
      <w:pPr>
        <w:ind w:left="1440" w:hanging="360"/>
      </w:pPr>
      <w:rPr>
        <w:rFonts w:ascii="Courier New" w:hAnsi="Courier New" w:cs="Courier New" w:hint="default"/>
      </w:rPr>
    </w:lvl>
    <w:lvl w:ilvl="2" w:tplc="C6346216">
      <w:start w:val="1"/>
      <w:numFmt w:val="bullet"/>
      <w:lvlText w:val=""/>
      <w:lvlJc w:val="left"/>
      <w:pPr>
        <w:ind w:left="2160" w:hanging="360"/>
      </w:pPr>
      <w:rPr>
        <w:rFonts w:ascii="Wingdings" w:hAnsi="Wingdings" w:hint="default"/>
      </w:rPr>
    </w:lvl>
    <w:lvl w:ilvl="3" w:tplc="71124920">
      <w:start w:val="1"/>
      <w:numFmt w:val="bullet"/>
      <w:lvlText w:val=""/>
      <w:lvlJc w:val="left"/>
      <w:pPr>
        <w:ind w:left="2880" w:hanging="360"/>
      </w:pPr>
      <w:rPr>
        <w:rFonts w:ascii="Symbol" w:hAnsi="Symbol" w:hint="default"/>
      </w:rPr>
    </w:lvl>
    <w:lvl w:ilvl="4" w:tplc="A9EA128C">
      <w:start w:val="1"/>
      <w:numFmt w:val="bullet"/>
      <w:lvlText w:val="o"/>
      <w:lvlJc w:val="left"/>
      <w:pPr>
        <w:ind w:left="3600" w:hanging="360"/>
      </w:pPr>
      <w:rPr>
        <w:rFonts w:ascii="Courier New" w:hAnsi="Courier New" w:cs="Courier New" w:hint="default"/>
      </w:rPr>
    </w:lvl>
    <w:lvl w:ilvl="5" w:tplc="E5301810">
      <w:start w:val="1"/>
      <w:numFmt w:val="bullet"/>
      <w:lvlText w:val=""/>
      <w:lvlJc w:val="left"/>
      <w:pPr>
        <w:ind w:left="4320" w:hanging="360"/>
      </w:pPr>
      <w:rPr>
        <w:rFonts w:ascii="Wingdings" w:hAnsi="Wingdings" w:hint="default"/>
      </w:rPr>
    </w:lvl>
    <w:lvl w:ilvl="6" w:tplc="830CF03E">
      <w:start w:val="1"/>
      <w:numFmt w:val="bullet"/>
      <w:lvlText w:val=""/>
      <w:lvlJc w:val="left"/>
      <w:pPr>
        <w:ind w:left="5040" w:hanging="360"/>
      </w:pPr>
      <w:rPr>
        <w:rFonts w:ascii="Symbol" w:hAnsi="Symbol" w:hint="default"/>
      </w:rPr>
    </w:lvl>
    <w:lvl w:ilvl="7" w:tplc="0F0ED5F2">
      <w:start w:val="1"/>
      <w:numFmt w:val="bullet"/>
      <w:lvlText w:val="o"/>
      <w:lvlJc w:val="left"/>
      <w:pPr>
        <w:ind w:left="5760" w:hanging="360"/>
      </w:pPr>
      <w:rPr>
        <w:rFonts w:ascii="Courier New" w:hAnsi="Courier New" w:cs="Courier New" w:hint="default"/>
      </w:rPr>
    </w:lvl>
    <w:lvl w:ilvl="8" w:tplc="3FC27C76">
      <w:start w:val="1"/>
      <w:numFmt w:val="bullet"/>
      <w:lvlText w:val=""/>
      <w:lvlJc w:val="left"/>
      <w:pPr>
        <w:ind w:left="6480" w:hanging="360"/>
      </w:pPr>
      <w:rPr>
        <w:rFonts w:ascii="Wingdings" w:hAnsi="Wingdings" w:hint="default"/>
      </w:rPr>
    </w:lvl>
  </w:abstractNum>
  <w:abstractNum w:abstractNumId="33" w15:restartNumberingAfterBreak="0">
    <w:nsid w:val="2B924E3E"/>
    <w:multiLevelType w:val="hybridMultilevel"/>
    <w:tmpl w:val="C04E1468"/>
    <w:lvl w:ilvl="0" w:tplc="300484F8">
      <w:start w:val="1"/>
      <w:numFmt w:val="bullet"/>
      <w:lvlText w:val="•"/>
      <w:lvlJc w:val="left"/>
      <w:pPr>
        <w:ind w:left="720" w:hanging="360"/>
      </w:pPr>
      <w:rPr>
        <w:rFonts w:ascii="Calibri" w:hAnsi="Calibri" w:hint="default"/>
        <w:b w:val="0"/>
        <w:i w:val="0"/>
        <w:sz w:val="22"/>
      </w:rPr>
    </w:lvl>
    <w:lvl w:ilvl="1" w:tplc="B6960C6E">
      <w:start w:val="1"/>
      <w:numFmt w:val="bullet"/>
      <w:lvlText w:val="o"/>
      <w:lvlJc w:val="left"/>
      <w:pPr>
        <w:ind w:left="1440" w:hanging="360"/>
      </w:pPr>
      <w:rPr>
        <w:rFonts w:ascii="Courier New" w:hAnsi="Courier New" w:cs="Courier New" w:hint="default"/>
      </w:rPr>
    </w:lvl>
    <w:lvl w:ilvl="2" w:tplc="5D98220E">
      <w:start w:val="1"/>
      <w:numFmt w:val="bullet"/>
      <w:lvlText w:val=""/>
      <w:lvlJc w:val="left"/>
      <w:pPr>
        <w:ind w:left="2160" w:hanging="360"/>
      </w:pPr>
      <w:rPr>
        <w:rFonts w:ascii="Wingdings" w:hAnsi="Wingdings" w:hint="default"/>
      </w:rPr>
    </w:lvl>
    <w:lvl w:ilvl="3" w:tplc="DC58AE20">
      <w:start w:val="1"/>
      <w:numFmt w:val="bullet"/>
      <w:lvlText w:val=""/>
      <w:lvlJc w:val="left"/>
      <w:pPr>
        <w:ind w:left="2880" w:hanging="360"/>
      </w:pPr>
      <w:rPr>
        <w:rFonts w:ascii="Symbol" w:hAnsi="Symbol" w:hint="default"/>
      </w:rPr>
    </w:lvl>
    <w:lvl w:ilvl="4" w:tplc="95AC7B58">
      <w:start w:val="1"/>
      <w:numFmt w:val="bullet"/>
      <w:lvlText w:val="o"/>
      <w:lvlJc w:val="left"/>
      <w:pPr>
        <w:ind w:left="3600" w:hanging="360"/>
      </w:pPr>
      <w:rPr>
        <w:rFonts w:ascii="Courier New" w:hAnsi="Courier New" w:cs="Courier New" w:hint="default"/>
      </w:rPr>
    </w:lvl>
    <w:lvl w:ilvl="5" w:tplc="813C67F4">
      <w:start w:val="1"/>
      <w:numFmt w:val="bullet"/>
      <w:lvlText w:val=""/>
      <w:lvlJc w:val="left"/>
      <w:pPr>
        <w:ind w:left="4320" w:hanging="360"/>
      </w:pPr>
      <w:rPr>
        <w:rFonts w:ascii="Wingdings" w:hAnsi="Wingdings" w:hint="default"/>
      </w:rPr>
    </w:lvl>
    <w:lvl w:ilvl="6" w:tplc="7E68B80A">
      <w:start w:val="1"/>
      <w:numFmt w:val="bullet"/>
      <w:lvlText w:val=""/>
      <w:lvlJc w:val="left"/>
      <w:pPr>
        <w:ind w:left="5040" w:hanging="360"/>
      </w:pPr>
      <w:rPr>
        <w:rFonts w:ascii="Symbol" w:hAnsi="Symbol" w:hint="default"/>
      </w:rPr>
    </w:lvl>
    <w:lvl w:ilvl="7" w:tplc="DF3C8E9A">
      <w:start w:val="1"/>
      <w:numFmt w:val="bullet"/>
      <w:lvlText w:val="o"/>
      <w:lvlJc w:val="left"/>
      <w:pPr>
        <w:ind w:left="5760" w:hanging="360"/>
      </w:pPr>
      <w:rPr>
        <w:rFonts w:ascii="Courier New" w:hAnsi="Courier New" w:cs="Courier New" w:hint="default"/>
      </w:rPr>
    </w:lvl>
    <w:lvl w:ilvl="8" w:tplc="444A5DC2">
      <w:start w:val="1"/>
      <w:numFmt w:val="bullet"/>
      <w:lvlText w:val=""/>
      <w:lvlJc w:val="left"/>
      <w:pPr>
        <w:ind w:left="6480" w:hanging="360"/>
      </w:pPr>
      <w:rPr>
        <w:rFonts w:ascii="Wingdings" w:hAnsi="Wingdings" w:hint="default"/>
      </w:rPr>
    </w:lvl>
  </w:abstractNum>
  <w:abstractNum w:abstractNumId="34" w15:restartNumberingAfterBreak="0">
    <w:nsid w:val="2DEC6EB4"/>
    <w:multiLevelType w:val="hybridMultilevel"/>
    <w:tmpl w:val="93F8F41E"/>
    <w:lvl w:ilvl="0" w:tplc="BF8CD3DA">
      <w:start w:val="1"/>
      <w:numFmt w:val="bullet"/>
      <w:lvlText w:val="•"/>
      <w:lvlJc w:val="left"/>
      <w:pPr>
        <w:ind w:left="720" w:hanging="360"/>
      </w:pPr>
      <w:rPr>
        <w:rFonts w:ascii="Calibri" w:hAnsi="Calibri" w:hint="default"/>
        <w:b w:val="0"/>
        <w:i w:val="0"/>
        <w:sz w:val="22"/>
      </w:rPr>
    </w:lvl>
    <w:lvl w:ilvl="1" w:tplc="F2AA0F42">
      <w:start w:val="1"/>
      <w:numFmt w:val="bullet"/>
      <w:lvlText w:val="o"/>
      <w:lvlJc w:val="left"/>
      <w:pPr>
        <w:ind w:left="1440" w:hanging="360"/>
      </w:pPr>
      <w:rPr>
        <w:rFonts w:ascii="Courier New" w:hAnsi="Courier New" w:cs="Courier New" w:hint="default"/>
      </w:rPr>
    </w:lvl>
    <w:lvl w:ilvl="2" w:tplc="C08664DC">
      <w:start w:val="1"/>
      <w:numFmt w:val="bullet"/>
      <w:lvlText w:val=""/>
      <w:lvlJc w:val="left"/>
      <w:pPr>
        <w:ind w:left="2160" w:hanging="360"/>
      </w:pPr>
      <w:rPr>
        <w:rFonts w:ascii="Wingdings" w:hAnsi="Wingdings" w:hint="default"/>
      </w:rPr>
    </w:lvl>
    <w:lvl w:ilvl="3" w:tplc="B4720604">
      <w:start w:val="1"/>
      <w:numFmt w:val="bullet"/>
      <w:lvlText w:val=""/>
      <w:lvlJc w:val="left"/>
      <w:pPr>
        <w:ind w:left="2880" w:hanging="360"/>
      </w:pPr>
      <w:rPr>
        <w:rFonts w:ascii="Symbol" w:hAnsi="Symbol" w:hint="default"/>
      </w:rPr>
    </w:lvl>
    <w:lvl w:ilvl="4" w:tplc="2B1060CE">
      <w:start w:val="1"/>
      <w:numFmt w:val="bullet"/>
      <w:lvlText w:val="o"/>
      <w:lvlJc w:val="left"/>
      <w:pPr>
        <w:ind w:left="3600" w:hanging="360"/>
      </w:pPr>
      <w:rPr>
        <w:rFonts w:ascii="Courier New" w:hAnsi="Courier New" w:cs="Courier New" w:hint="default"/>
      </w:rPr>
    </w:lvl>
    <w:lvl w:ilvl="5" w:tplc="48623D84">
      <w:start w:val="1"/>
      <w:numFmt w:val="bullet"/>
      <w:lvlText w:val=""/>
      <w:lvlJc w:val="left"/>
      <w:pPr>
        <w:ind w:left="4320" w:hanging="360"/>
      </w:pPr>
      <w:rPr>
        <w:rFonts w:ascii="Wingdings" w:hAnsi="Wingdings" w:hint="default"/>
      </w:rPr>
    </w:lvl>
    <w:lvl w:ilvl="6" w:tplc="64E891E6">
      <w:start w:val="1"/>
      <w:numFmt w:val="bullet"/>
      <w:lvlText w:val=""/>
      <w:lvlJc w:val="left"/>
      <w:pPr>
        <w:ind w:left="5040" w:hanging="360"/>
      </w:pPr>
      <w:rPr>
        <w:rFonts w:ascii="Symbol" w:hAnsi="Symbol" w:hint="default"/>
      </w:rPr>
    </w:lvl>
    <w:lvl w:ilvl="7" w:tplc="95460D82">
      <w:start w:val="1"/>
      <w:numFmt w:val="bullet"/>
      <w:lvlText w:val="o"/>
      <w:lvlJc w:val="left"/>
      <w:pPr>
        <w:ind w:left="5760" w:hanging="360"/>
      </w:pPr>
      <w:rPr>
        <w:rFonts w:ascii="Courier New" w:hAnsi="Courier New" w:cs="Courier New" w:hint="default"/>
      </w:rPr>
    </w:lvl>
    <w:lvl w:ilvl="8" w:tplc="825C6A7E">
      <w:start w:val="1"/>
      <w:numFmt w:val="bullet"/>
      <w:lvlText w:val=""/>
      <w:lvlJc w:val="left"/>
      <w:pPr>
        <w:ind w:left="6480" w:hanging="360"/>
      </w:pPr>
      <w:rPr>
        <w:rFonts w:ascii="Wingdings" w:hAnsi="Wingdings" w:hint="default"/>
      </w:rPr>
    </w:lvl>
  </w:abstractNum>
  <w:abstractNum w:abstractNumId="35" w15:restartNumberingAfterBreak="0">
    <w:nsid w:val="2F0B7FF1"/>
    <w:multiLevelType w:val="hybridMultilevel"/>
    <w:tmpl w:val="211EE94C"/>
    <w:lvl w:ilvl="0" w:tplc="98EC17AE">
      <w:start w:val="1"/>
      <w:numFmt w:val="bullet"/>
      <w:lvlText w:val="•"/>
      <w:lvlJc w:val="left"/>
      <w:pPr>
        <w:ind w:left="720" w:hanging="360"/>
      </w:pPr>
      <w:rPr>
        <w:rFonts w:ascii="Calibri" w:hAnsi="Calibri" w:hint="default"/>
        <w:b w:val="0"/>
        <w:i w:val="0"/>
        <w:sz w:val="22"/>
      </w:rPr>
    </w:lvl>
    <w:lvl w:ilvl="1" w:tplc="C7EE930E">
      <w:start w:val="1"/>
      <w:numFmt w:val="bullet"/>
      <w:lvlText w:val="o"/>
      <w:lvlJc w:val="left"/>
      <w:pPr>
        <w:ind w:left="1440" w:hanging="360"/>
      </w:pPr>
      <w:rPr>
        <w:rFonts w:ascii="Courier New" w:hAnsi="Courier New" w:cs="Courier New" w:hint="default"/>
      </w:rPr>
    </w:lvl>
    <w:lvl w:ilvl="2" w:tplc="E3FCE94A">
      <w:start w:val="1"/>
      <w:numFmt w:val="bullet"/>
      <w:lvlText w:val=""/>
      <w:lvlJc w:val="left"/>
      <w:pPr>
        <w:ind w:left="2160" w:hanging="360"/>
      </w:pPr>
      <w:rPr>
        <w:rFonts w:ascii="Wingdings" w:hAnsi="Wingdings" w:hint="default"/>
      </w:rPr>
    </w:lvl>
    <w:lvl w:ilvl="3" w:tplc="3DE29084">
      <w:start w:val="1"/>
      <w:numFmt w:val="bullet"/>
      <w:lvlText w:val=""/>
      <w:lvlJc w:val="left"/>
      <w:pPr>
        <w:ind w:left="2880" w:hanging="360"/>
      </w:pPr>
      <w:rPr>
        <w:rFonts w:ascii="Symbol" w:hAnsi="Symbol" w:hint="default"/>
      </w:rPr>
    </w:lvl>
    <w:lvl w:ilvl="4" w:tplc="A9AE2444">
      <w:start w:val="1"/>
      <w:numFmt w:val="bullet"/>
      <w:lvlText w:val="o"/>
      <w:lvlJc w:val="left"/>
      <w:pPr>
        <w:ind w:left="3600" w:hanging="360"/>
      </w:pPr>
      <w:rPr>
        <w:rFonts w:ascii="Courier New" w:hAnsi="Courier New" w:cs="Courier New" w:hint="default"/>
      </w:rPr>
    </w:lvl>
    <w:lvl w:ilvl="5" w:tplc="D00E481E">
      <w:start w:val="1"/>
      <w:numFmt w:val="bullet"/>
      <w:lvlText w:val=""/>
      <w:lvlJc w:val="left"/>
      <w:pPr>
        <w:ind w:left="4320" w:hanging="360"/>
      </w:pPr>
      <w:rPr>
        <w:rFonts w:ascii="Wingdings" w:hAnsi="Wingdings" w:hint="default"/>
      </w:rPr>
    </w:lvl>
    <w:lvl w:ilvl="6" w:tplc="0876E35E">
      <w:start w:val="1"/>
      <w:numFmt w:val="bullet"/>
      <w:lvlText w:val=""/>
      <w:lvlJc w:val="left"/>
      <w:pPr>
        <w:ind w:left="5040" w:hanging="360"/>
      </w:pPr>
      <w:rPr>
        <w:rFonts w:ascii="Symbol" w:hAnsi="Symbol" w:hint="default"/>
      </w:rPr>
    </w:lvl>
    <w:lvl w:ilvl="7" w:tplc="380218CA">
      <w:start w:val="1"/>
      <w:numFmt w:val="bullet"/>
      <w:lvlText w:val="o"/>
      <w:lvlJc w:val="left"/>
      <w:pPr>
        <w:ind w:left="5760" w:hanging="360"/>
      </w:pPr>
      <w:rPr>
        <w:rFonts w:ascii="Courier New" w:hAnsi="Courier New" w:cs="Courier New" w:hint="default"/>
      </w:rPr>
    </w:lvl>
    <w:lvl w:ilvl="8" w:tplc="87681890">
      <w:start w:val="1"/>
      <w:numFmt w:val="bullet"/>
      <w:lvlText w:val=""/>
      <w:lvlJc w:val="left"/>
      <w:pPr>
        <w:ind w:left="6480" w:hanging="360"/>
      </w:pPr>
      <w:rPr>
        <w:rFonts w:ascii="Wingdings" w:hAnsi="Wingdings" w:hint="default"/>
      </w:rPr>
    </w:lvl>
  </w:abstractNum>
  <w:abstractNum w:abstractNumId="36" w15:restartNumberingAfterBreak="0">
    <w:nsid w:val="2F7D0331"/>
    <w:multiLevelType w:val="hybridMultilevel"/>
    <w:tmpl w:val="48A2D80A"/>
    <w:lvl w:ilvl="0" w:tplc="94F04F16">
      <w:start w:val="1"/>
      <w:numFmt w:val="bullet"/>
      <w:lvlText w:val=""/>
      <w:lvlJc w:val="left"/>
      <w:pPr>
        <w:ind w:left="720" w:hanging="360"/>
      </w:pPr>
      <w:rPr>
        <w:rFonts w:ascii="Symbol" w:hAnsi="Symbol" w:hint="default"/>
      </w:rPr>
    </w:lvl>
    <w:lvl w:ilvl="1" w:tplc="80407D18">
      <w:start w:val="1"/>
      <w:numFmt w:val="bullet"/>
      <w:lvlText w:val="o"/>
      <w:lvlJc w:val="left"/>
      <w:pPr>
        <w:ind w:left="1440" w:hanging="360"/>
      </w:pPr>
      <w:rPr>
        <w:rFonts w:ascii="Courier New" w:hAnsi="Courier New" w:cs="Courier New" w:hint="default"/>
      </w:rPr>
    </w:lvl>
    <w:lvl w:ilvl="2" w:tplc="8B5A78DC">
      <w:start w:val="1"/>
      <w:numFmt w:val="bullet"/>
      <w:lvlText w:val=""/>
      <w:lvlJc w:val="left"/>
      <w:pPr>
        <w:ind w:left="2160" w:hanging="360"/>
      </w:pPr>
      <w:rPr>
        <w:rFonts w:ascii="Wingdings" w:hAnsi="Wingdings" w:hint="default"/>
      </w:rPr>
    </w:lvl>
    <w:lvl w:ilvl="3" w:tplc="165E7C44">
      <w:start w:val="1"/>
      <w:numFmt w:val="bullet"/>
      <w:lvlText w:val=""/>
      <w:lvlJc w:val="left"/>
      <w:pPr>
        <w:ind w:left="2880" w:hanging="360"/>
      </w:pPr>
      <w:rPr>
        <w:rFonts w:ascii="Symbol" w:hAnsi="Symbol" w:hint="default"/>
      </w:rPr>
    </w:lvl>
    <w:lvl w:ilvl="4" w:tplc="E418154E">
      <w:start w:val="1"/>
      <w:numFmt w:val="bullet"/>
      <w:lvlText w:val="o"/>
      <w:lvlJc w:val="left"/>
      <w:pPr>
        <w:ind w:left="3600" w:hanging="360"/>
      </w:pPr>
      <w:rPr>
        <w:rFonts w:ascii="Courier New" w:hAnsi="Courier New" w:cs="Courier New" w:hint="default"/>
      </w:rPr>
    </w:lvl>
    <w:lvl w:ilvl="5" w:tplc="9AF2DA64">
      <w:start w:val="1"/>
      <w:numFmt w:val="bullet"/>
      <w:lvlText w:val=""/>
      <w:lvlJc w:val="left"/>
      <w:pPr>
        <w:ind w:left="4320" w:hanging="360"/>
      </w:pPr>
      <w:rPr>
        <w:rFonts w:ascii="Wingdings" w:hAnsi="Wingdings" w:hint="default"/>
      </w:rPr>
    </w:lvl>
    <w:lvl w:ilvl="6" w:tplc="F0023804">
      <w:start w:val="1"/>
      <w:numFmt w:val="bullet"/>
      <w:lvlText w:val=""/>
      <w:lvlJc w:val="left"/>
      <w:pPr>
        <w:ind w:left="5040" w:hanging="360"/>
      </w:pPr>
      <w:rPr>
        <w:rFonts w:ascii="Symbol" w:hAnsi="Symbol" w:hint="default"/>
      </w:rPr>
    </w:lvl>
    <w:lvl w:ilvl="7" w:tplc="398E8DFA">
      <w:start w:val="1"/>
      <w:numFmt w:val="bullet"/>
      <w:lvlText w:val="o"/>
      <w:lvlJc w:val="left"/>
      <w:pPr>
        <w:ind w:left="5760" w:hanging="360"/>
      </w:pPr>
      <w:rPr>
        <w:rFonts w:ascii="Courier New" w:hAnsi="Courier New" w:cs="Courier New" w:hint="default"/>
      </w:rPr>
    </w:lvl>
    <w:lvl w:ilvl="8" w:tplc="3B8A6AC0">
      <w:start w:val="1"/>
      <w:numFmt w:val="bullet"/>
      <w:lvlText w:val=""/>
      <w:lvlJc w:val="left"/>
      <w:pPr>
        <w:ind w:left="6480" w:hanging="360"/>
      </w:pPr>
      <w:rPr>
        <w:rFonts w:ascii="Wingdings" w:hAnsi="Wingdings" w:hint="default"/>
      </w:rPr>
    </w:lvl>
  </w:abstractNum>
  <w:abstractNum w:abstractNumId="37" w15:restartNumberingAfterBreak="0">
    <w:nsid w:val="306F61C6"/>
    <w:multiLevelType w:val="hybridMultilevel"/>
    <w:tmpl w:val="50CC0FB0"/>
    <w:lvl w:ilvl="0" w:tplc="454CF4B4">
      <w:start w:val="1"/>
      <w:numFmt w:val="bullet"/>
      <w:lvlText w:val="•"/>
      <w:lvlJc w:val="left"/>
      <w:pPr>
        <w:ind w:left="720" w:hanging="360"/>
      </w:pPr>
      <w:rPr>
        <w:rFonts w:ascii="Calibri" w:hAnsi="Calibri" w:hint="default"/>
        <w:b w:val="0"/>
        <w:i w:val="0"/>
        <w:sz w:val="22"/>
      </w:rPr>
    </w:lvl>
    <w:lvl w:ilvl="1" w:tplc="1E04F1C0">
      <w:start w:val="1"/>
      <w:numFmt w:val="bullet"/>
      <w:lvlText w:val="o"/>
      <w:lvlJc w:val="left"/>
      <w:pPr>
        <w:ind w:left="1440" w:hanging="360"/>
      </w:pPr>
      <w:rPr>
        <w:rFonts w:ascii="Courier New" w:hAnsi="Courier New" w:cs="Courier New" w:hint="default"/>
      </w:rPr>
    </w:lvl>
    <w:lvl w:ilvl="2" w:tplc="F184D50A">
      <w:start w:val="1"/>
      <w:numFmt w:val="bullet"/>
      <w:lvlText w:val=""/>
      <w:lvlJc w:val="left"/>
      <w:pPr>
        <w:ind w:left="2160" w:hanging="360"/>
      </w:pPr>
      <w:rPr>
        <w:rFonts w:ascii="Wingdings" w:hAnsi="Wingdings" w:hint="default"/>
      </w:rPr>
    </w:lvl>
    <w:lvl w:ilvl="3" w:tplc="5CEAF4FC">
      <w:start w:val="1"/>
      <w:numFmt w:val="bullet"/>
      <w:lvlText w:val=""/>
      <w:lvlJc w:val="left"/>
      <w:pPr>
        <w:ind w:left="2880" w:hanging="360"/>
      </w:pPr>
      <w:rPr>
        <w:rFonts w:ascii="Symbol" w:hAnsi="Symbol" w:hint="default"/>
      </w:rPr>
    </w:lvl>
    <w:lvl w:ilvl="4" w:tplc="EB827B40">
      <w:start w:val="1"/>
      <w:numFmt w:val="bullet"/>
      <w:lvlText w:val="o"/>
      <w:lvlJc w:val="left"/>
      <w:pPr>
        <w:ind w:left="3600" w:hanging="360"/>
      </w:pPr>
      <w:rPr>
        <w:rFonts w:ascii="Courier New" w:hAnsi="Courier New" w:cs="Courier New" w:hint="default"/>
      </w:rPr>
    </w:lvl>
    <w:lvl w:ilvl="5" w:tplc="D786CC98">
      <w:start w:val="1"/>
      <w:numFmt w:val="bullet"/>
      <w:lvlText w:val=""/>
      <w:lvlJc w:val="left"/>
      <w:pPr>
        <w:ind w:left="4320" w:hanging="360"/>
      </w:pPr>
      <w:rPr>
        <w:rFonts w:ascii="Wingdings" w:hAnsi="Wingdings" w:hint="default"/>
      </w:rPr>
    </w:lvl>
    <w:lvl w:ilvl="6" w:tplc="74323F76">
      <w:start w:val="1"/>
      <w:numFmt w:val="bullet"/>
      <w:lvlText w:val=""/>
      <w:lvlJc w:val="left"/>
      <w:pPr>
        <w:ind w:left="5040" w:hanging="360"/>
      </w:pPr>
      <w:rPr>
        <w:rFonts w:ascii="Symbol" w:hAnsi="Symbol" w:hint="default"/>
      </w:rPr>
    </w:lvl>
    <w:lvl w:ilvl="7" w:tplc="EF623982">
      <w:start w:val="1"/>
      <w:numFmt w:val="bullet"/>
      <w:lvlText w:val="o"/>
      <w:lvlJc w:val="left"/>
      <w:pPr>
        <w:ind w:left="5760" w:hanging="360"/>
      </w:pPr>
      <w:rPr>
        <w:rFonts w:ascii="Courier New" w:hAnsi="Courier New" w:cs="Courier New" w:hint="default"/>
      </w:rPr>
    </w:lvl>
    <w:lvl w:ilvl="8" w:tplc="A5262C84">
      <w:start w:val="1"/>
      <w:numFmt w:val="bullet"/>
      <w:lvlText w:val=""/>
      <w:lvlJc w:val="left"/>
      <w:pPr>
        <w:ind w:left="6480" w:hanging="360"/>
      </w:pPr>
      <w:rPr>
        <w:rFonts w:ascii="Wingdings" w:hAnsi="Wingdings" w:hint="default"/>
      </w:rPr>
    </w:lvl>
  </w:abstractNum>
  <w:abstractNum w:abstractNumId="38" w15:restartNumberingAfterBreak="0">
    <w:nsid w:val="34A4357E"/>
    <w:multiLevelType w:val="multilevel"/>
    <w:tmpl w:val="95E4CE46"/>
    <w:lvl w:ilvl="0">
      <w:start w:val="1"/>
      <w:numFmt w:val="upperRoman"/>
      <w:pStyle w:val="Naslov4"/>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797"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15:restartNumberingAfterBreak="0">
    <w:nsid w:val="36B61ABA"/>
    <w:multiLevelType w:val="hybridMultilevel"/>
    <w:tmpl w:val="182A805A"/>
    <w:lvl w:ilvl="0" w:tplc="60CA9B72">
      <w:start w:val="1"/>
      <w:numFmt w:val="bullet"/>
      <w:lvlText w:val="•"/>
      <w:lvlJc w:val="left"/>
      <w:pPr>
        <w:ind w:left="720" w:hanging="360"/>
      </w:pPr>
      <w:rPr>
        <w:rFonts w:ascii="Calibri" w:hAnsi="Calibri" w:hint="default"/>
        <w:b w:val="0"/>
        <w:i w:val="0"/>
        <w:sz w:val="22"/>
      </w:rPr>
    </w:lvl>
    <w:lvl w:ilvl="1" w:tplc="D33EACF4">
      <w:start w:val="1"/>
      <w:numFmt w:val="bullet"/>
      <w:lvlText w:val="o"/>
      <w:lvlJc w:val="left"/>
      <w:pPr>
        <w:ind w:left="1440" w:hanging="360"/>
      </w:pPr>
      <w:rPr>
        <w:rFonts w:ascii="Courier New" w:hAnsi="Courier New" w:cs="Courier New" w:hint="default"/>
      </w:rPr>
    </w:lvl>
    <w:lvl w:ilvl="2" w:tplc="AF060C90">
      <w:start w:val="1"/>
      <w:numFmt w:val="bullet"/>
      <w:lvlText w:val=""/>
      <w:lvlJc w:val="left"/>
      <w:pPr>
        <w:ind w:left="2160" w:hanging="360"/>
      </w:pPr>
      <w:rPr>
        <w:rFonts w:ascii="Wingdings" w:hAnsi="Wingdings" w:hint="default"/>
      </w:rPr>
    </w:lvl>
    <w:lvl w:ilvl="3" w:tplc="373EA014">
      <w:start w:val="1"/>
      <w:numFmt w:val="bullet"/>
      <w:lvlText w:val=""/>
      <w:lvlJc w:val="left"/>
      <w:pPr>
        <w:ind w:left="2880" w:hanging="360"/>
      </w:pPr>
      <w:rPr>
        <w:rFonts w:ascii="Symbol" w:hAnsi="Symbol" w:hint="default"/>
      </w:rPr>
    </w:lvl>
    <w:lvl w:ilvl="4" w:tplc="8ED053D4">
      <w:start w:val="1"/>
      <w:numFmt w:val="bullet"/>
      <w:lvlText w:val="o"/>
      <w:lvlJc w:val="left"/>
      <w:pPr>
        <w:ind w:left="3600" w:hanging="360"/>
      </w:pPr>
      <w:rPr>
        <w:rFonts w:ascii="Courier New" w:hAnsi="Courier New" w:cs="Courier New" w:hint="default"/>
      </w:rPr>
    </w:lvl>
    <w:lvl w:ilvl="5" w:tplc="5F2EDAFC">
      <w:start w:val="1"/>
      <w:numFmt w:val="bullet"/>
      <w:lvlText w:val=""/>
      <w:lvlJc w:val="left"/>
      <w:pPr>
        <w:ind w:left="4320" w:hanging="360"/>
      </w:pPr>
      <w:rPr>
        <w:rFonts w:ascii="Wingdings" w:hAnsi="Wingdings" w:hint="default"/>
      </w:rPr>
    </w:lvl>
    <w:lvl w:ilvl="6" w:tplc="8098CC9C">
      <w:start w:val="1"/>
      <w:numFmt w:val="bullet"/>
      <w:lvlText w:val=""/>
      <w:lvlJc w:val="left"/>
      <w:pPr>
        <w:ind w:left="5040" w:hanging="360"/>
      </w:pPr>
      <w:rPr>
        <w:rFonts w:ascii="Symbol" w:hAnsi="Symbol" w:hint="default"/>
      </w:rPr>
    </w:lvl>
    <w:lvl w:ilvl="7" w:tplc="05D03BBE">
      <w:start w:val="1"/>
      <w:numFmt w:val="bullet"/>
      <w:lvlText w:val="o"/>
      <w:lvlJc w:val="left"/>
      <w:pPr>
        <w:ind w:left="5760" w:hanging="360"/>
      </w:pPr>
      <w:rPr>
        <w:rFonts w:ascii="Courier New" w:hAnsi="Courier New" w:cs="Courier New" w:hint="default"/>
      </w:rPr>
    </w:lvl>
    <w:lvl w:ilvl="8" w:tplc="656C4862">
      <w:start w:val="1"/>
      <w:numFmt w:val="bullet"/>
      <w:lvlText w:val=""/>
      <w:lvlJc w:val="left"/>
      <w:pPr>
        <w:ind w:left="6480" w:hanging="360"/>
      </w:pPr>
      <w:rPr>
        <w:rFonts w:ascii="Wingdings" w:hAnsi="Wingdings" w:hint="default"/>
      </w:rPr>
    </w:lvl>
  </w:abstractNum>
  <w:abstractNum w:abstractNumId="40" w15:restartNumberingAfterBreak="0">
    <w:nsid w:val="37F57864"/>
    <w:multiLevelType w:val="hybridMultilevel"/>
    <w:tmpl w:val="D320330C"/>
    <w:lvl w:ilvl="0" w:tplc="AA2E59D6">
      <w:start w:val="1"/>
      <w:numFmt w:val="bullet"/>
      <w:lvlText w:val="•"/>
      <w:lvlJc w:val="left"/>
      <w:pPr>
        <w:ind w:left="720" w:hanging="360"/>
      </w:pPr>
      <w:rPr>
        <w:rFonts w:ascii="Calibri" w:hAnsi="Calibri" w:hint="default"/>
        <w:b w:val="0"/>
        <w:i w:val="0"/>
        <w:sz w:val="22"/>
      </w:rPr>
    </w:lvl>
    <w:lvl w:ilvl="1" w:tplc="BFE65B28">
      <w:start w:val="1"/>
      <w:numFmt w:val="bullet"/>
      <w:lvlText w:val="•"/>
      <w:lvlJc w:val="left"/>
      <w:pPr>
        <w:ind w:left="1440" w:hanging="360"/>
      </w:pPr>
      <w:rPr>
        <w:rFonts w:ascii="Calibri" w:hAnsi="Calibri" w:hint="default"/>
        <w:b w:val="0"/>
        <w:i w:val="0"/>
        <w:color w:val="auto"/>
        <w:sz w:val="22"/>
      </w:rPr>
    </w:lvl>
    <w:lvl w:ilvl="2" w:tplc="A52058A0">
      <w:start w:val="1"/>
      <w:numFmt w:val="bullet"/>
      <w:lvlText w:val=""/>
      <w:lvlJc w:val="left"/>
      <w:pPr>
        <w:ind w:left="2160" w:hanging="360"/>
      </w:pPr>
      <w:rPr>
        <w:rFonts w:ascii="Wingdings" w:hAnsi="Wingdings" w:hint="default"/>
      </w:rPr>
    </w:lvl>
    <w:lvl w:ilvl="3" w:tplc="881E6D74">
      <w:start w:val="1"/>
      <w:numFmt w:val="bullet"/>
      <w:lvlText w:val=""/>
      <w:lvlJc w:val="left"/>
      <w:pPr>
        <w:ind w:left="2880" w:hanging="360"/>
      </w:pPr>
      <w:rPr>
        <w:rFonts w:ascii="Symbol" w:hAnsi="Symbol" w:hint="default"/>
      </w:rPr>
    </w:lvl>
    <w:lvl w:ilvl="4" w:tplc="95D82C7A">
      <w:start w:val="1"/>
      <w:numFmt w:val="bullet"/>
      <w:lvlText w:val="o"/>
      <w:lvlJc w:val="left"/>
      <w:pPr>
        <w:ind w:left="3600" w:hanging="360"/>
      </w:pPr>
      <w:rPr>
        <w:rFonts w:ascii="Courier New" w:hAnsi="Courier New" w:cs="Courier New" w:hint="default"/>
      </w:rPr>
    </w:lvl>
    <w:lvl w:ilvl="5" w:tplc="9ABCC67C">
      <w:start w:val="1"/>
      <w:numFmt w:val="bullet"/>
      <w:lvlText w:val=""/>
      <w:lvlJc w:val="left"/>
      <w:pPr>
        <w:ind w:left="4320" w:hanging="360"/>
      </w:pPr>
      <w:rPr>
        <w:rFonts w:ascii="Wingdings" w:hAnsi="Wingdings" w:hint="default"/>
      </w:rPr>
    </w:lvl>
    <w:lvl w:ilvl="6" w:tplc="1592F75C">
      <w:start w:val="1"/>
      <w:numFmt w:val="bullet"/>
      <w:lvlText w:val=""/>
      <w:lvlJc w:val="left"/>
      <w:pPr>
        <w:ind w:left="5040" w:hanging="360"/>
      </w:pPr>
      <w:rPr>
        <w:rFonts w:ascii="Symbol" w:hAnsi="Symbol" w:hint="default"/>
      </w:rPr>
    </w:lvl>
    <w:lvl w:ilvl="7" w:tplc="1D92BD56">
      <w:start w:val="1"/>
      <w:numFmt w:val="bullet"/>
      <w:lvlText w:val="o"/>
      <w:lvlJc w:val="left"/>
      <w:pPr>
        <w:ind w:left="5760" w:hanging="360"/>
      </w:pPr>
      <w:rPr>
        <w:rFonts w:ascii="Courier New" w:hAnsi="Courier New" w:cs="Courier New" w:hint="default"/>
      </w:rPr>
    </w:lvl>
    <w:lvl w:ilvl="8" w:tplc="1B841E8E">
      <w:start w:val="1"/>
      <w:numFmt w:val="bullet"/>
      <w:lvlText w:val=""/>
      <w:lvlJc w:val="left"/>
      <w:pPr>
        <w:ind w:left="6480" w:hanging="360"/>
      </w:pPr>
      <w:rPr>
        <w:rFonts w:ascii="Wingdings" w:hAnsi="Wingdings" w:hint="default"/>
      </w:rPr>
    </w:lvl>
  </w:abstractNum>
  <w:abstractNum w:abstractNumId="41" w15:restartNumberingAfterBreak="0">
    <w:nsid w:val="39552814"/>
    <w:multiLevelType w:val="hybridMultilevel"/>
    <w:tmpl w:val="95869BC8"/>
    <w:lvl w:ilvl="0" w:tplc="B3A67480">
      <w:start w:val="1"/>
      <w:numFmt w:val="bullet"/>
      <w:lvlText w:val="•"/>
      <w:lvlJc w:val="left"/>
      <w:pPr>
        <w:ind w:left="720" w:hanging="360"/>
      </w:pPr>
      <w:rPr>
        <w:rFonts w:ascii="Calibri" w:hAnsi="Calibri" w:hint="default"/>
        <w:b w:val="0"/>
        <w:i w:val="0"/>
        <w:sz w:val="22"/>
      </w:rPr>
    </w:lvl>
    <w:lvl w:ilvl="1" w:tplc="B79EB770">
      <w:start w:val="1"/>
      <w:numFmt w:val="bullet"/>
      <w:lvlText w:val="o"/>
      <w:lvlJc w:val="left"/>
      <w:pPr>
        <w:ind w:left="1440" w:hanging="360"/>
      </w:pPr>
      <w:rPr>
        <w:rFonts w:ascii="Courier New" w:hAnsi="Courier New" w:cs="Courier New" w:hint="default"/>
      </w:rPr>
    </w:lvl>
    <w:lvl w:ilvl="2" w:tplc="D5A25618">
      <w:start w:val="1"/>
      <w:numFmt w:val="bullet"/>
      <w:lvlText w:val=""/>
      <w:lvlJc w:val="left"/>
      <w:pPr>
        <w:ind w:left="2160" w:hanging="360"/>
      </w:pPr>
      <w:rPr>
        <w:rFonts w:ascii="Wingdings" w:hAnsi="Wingdings" w:hint="default"/>
      </w:rPr>
    </w:lvl>
    <w:lvl w:ilvl="3" w:tplc="31F873E2">
      <w:start w:val="1"/>
      <w:numFmt w:val="bullet"/>
      <w:lvlText w:val=""/>
      <w:lvlJc w:val="left"/>
      <w:pPr>
        <w:ind w:left="2880" w:hanging="360"/>
      </w:pPr>
      <w:rPr>
        <w:rFonts w:ascii="Symbol" w:hAnsi="Symbol" w:hint="default"/>
      </w:rPr>
    </w:lvl>
    <w:lvl w:ilvl="4" w:tplc="216470E4">
      <w:start w:val="1"/>
      <w:numFmt w:val="bullet"/>
      <w:lvlText w:val="o"/>
      <w:lvlJc w:val="left"/>
      <w:pPr>
        <w:ind w:left="3600" w:hanging="360"/>
      </w:pPr>
      <w:rPr>
        <w:rFonts w:ascii="Courier New" w:hAnsi="Courier New" w:cs="Courier New" w:hint="default"/>
      </w:rPr>
    </w:lvl>
    <w:lvl w:ilvl="5" w:tplc="3AFE9F7A">
      <w:start w:val="1"/>
      <w:numFmt w:val="bullet"/>
      <w:lvlText w:val=""/>
      <w:lvlJc w:val="left"/>
      <w:pPr>
        <w:ind w:left="4320" w:hanging="360"/>
      </w:pPr>
      <w:rPr>
        <w:rFonts w:ascii="Wingdings" w:hAnsi="Wingdings" w:hint="default"/>
      </w:rPr>
    </w:lvl>
    <w:lvl w:ilvl="6" w:tplc="7B4EEDD6">
      <w:start w:val="1"/>
      <w:numFmt w:val="bullet"/>
      <w:lvlText w:val=""/>
      <w:lvlJc w:val="left"/>
      <w:pPr>
        <w:ind w:left="5040" w:hanging="360"/>
      </w:pPr>
      <w:rPr>
        <w:rFonts w:ascii="Symbol" w:hAnsi="Symbol" w:hint="default"/>
      </w:rPr>
    </w:lvl>
    <w:lvl w:ilvl="7" w:tplc="ABA2F594">
      <w:start w:val="1"/>
      <w:numFmt w:val="bullet"/>
      <w:lvlText w:val="o"/>
      <w:lvlJc w:val="left"/>
      <w:pPr>
        <w:ind w:left="5760" w:hanging="360"/>
      </w:pPr>
      <w:rPr>
        <w:rFonts w:ascii="Courier New" w:hAnsi="Courier New" w:cs="Courier New" w:hint="default"/>
      </w:rPr>
    </w:lvl>
    <w:lvl w:ilvl="8" w:tplc="E2F6ACA8">
      <w:start w:val="1"/>
      <w:numFmt w:val="bullet"/>
      <w:lvlText w:val=""/>
      <w:lvlJc w:val="left"/>
      <w:pPr>
        <w:ind w:left="6480" w:hanging="360"/>
      </w:pPr>
      <w:rPr>
        <w:rFonts w:ascii="Wingdings" w:hAnsi="Wingdings" w:hint="default"/>
      </w:rPr>
    </w:lvl>
  </w:abstractNum>
  <w:abstractNum w:abstractNumId="42" w15:restartNumberingAfterBreak="0">
    <w:nsid w:val="39E24E2B"/>
    <w:multiLevelType w:val="hybridMultilevel"/>
    <w:tmpl w:val="F46209F8"/>
    <w:lvl w:ilvl="0" w:tplc="F2A42ED0">
      <w:start w:val="1"/>
      <w:numFmt w:val="bullet"/>
      <w:lvlText w:val=""/>
      <w:lvlJc w:val="left"/>
      <w:pPr>
        <w:ind w:left="720" w:hanging="360"/>
      </w:pPr>
      <w:rPr>
        <w:rFonts w:ascii="Symbol" w:hAnsi="Symbol" w:hint="default"/>
      </w:rPr>
    </w:lvl>
    <w:lvl w:ilvl="1" w:tplc="685048CC">
      <w:start w:val="1"/>
      <w:numFmt w:val="bullet"/>
      <w:lvlText w:val="•"/>
      <w:lvlJc w:val="left"/>
      <w:pPr>
        <w:ind w:left="1440" w:hanging="360"/>
      </w:pPr>
      <w:rPr>
        <w:rFonts w:ascii="Calibri" w:hAnsi="Calibri" w:hint="default"/>
        <w:b w:val="0"/>
        <w:i w:val="0"/>
        <w:sz w:val="22"/>
      </w:rPr>
    </w:lvl>
    <w:lvl w:ilvl="2" w:tplc="368ACA5E">
      <w:start w:val="1"/>
      <w:numFmt w:val="bullet"/>
      <w:lvlText w:val=""/>
      <w:lvlJc w:val="left"/>
      <w:pPr>
        <w:ind w:left="2160" w:hanging="360"/>
      </w:pPr>
      <w:rPr>
        <w:rFonts w:ascii="Wingdings" w:hAnsi="Wingdings" w:hint="default"/>
      </w:rPr>
    </w:lvl>
    <w:lvl w:ilvl="3" w:tplc="EDF2DB24">
      <w:start w:val="1"/>
      <w:numFmt w:val="bullet"/>
      <w:lvlText w:val=""/>
      <w:lvlJc w:val="left"/>
      <w:pPr>
        <w:ind w:left="2880" w:hanging="360"/>
      </w:pPr>
      <w:rPr>
        <w:rFonts w:ascii="Symbol" w:hAnsi="Symbol" w:hint="default"/>
      </w:rPr>
    </w:lvl>
    <w:lvl w:ilvl="4" w:tplc="7318F298">
      <w:start w:val="1"/>
      <w:numFmt w:val="bullet"/>
      <w:lvlText w:val="o"/>
      <w:lvlJc w:val="left"/>
      <w:pPr>
        <w:ind w:left="3600" w:hanging="360"/>
      </w:pPr>
      <w:rPr>
        <w:rFonts w:ascii="Courier New" w:hAnsi="Courier New" w:cs="Courier New" w:hint="default"/>
      </w:rPr>
    </w:lvl>
    <w:lvl w:ilvl="5" w:tplc="4BF45E52">
      <w:start w:val="1"/>
      <w:numFmt w:val="bullet"/>
      <w:lvlText w:val=""/>
      <w:lvlJc w:val="left"/>
      <w:pPr>
        <w:ind w:left="4320" w:hanging="360"/>
      </w:pPr>
      <w:rPr>
        <w:rFonts w:ascii="Wingdings" w:hAnsi="Wingdings" w:hint="default"/>
      </w:rPr>
    </w:lvl>
    <w:lvl w:ilvl="6" w:tplc="DB9804C0">
      <w:start w:val="1"/>
      <w:numFmt w:val="bullet"/>
      <w:lvlText w:val=""/>
      <w:lvlJc w:val="left"/>
      <w:pPr>
        <w:ind w:left="5040" w:hanging="360"/>
      </w:pPr>
      <w:rPr>
        <w:rFonts w:ascii="Symbol" w:hAnsi="Symbol" w:hint="default"/>
      </w:rPr>
    </w:lvl>
    <w:lvl w:ilvl="7" w:tplc="990A81E0">
      <w:start w:val="1"/>
      <w:numFmt w:val="bullet"/>
      <w:lvlText w:val="o"/>
      <w:lvlJc w:val="left"/>
      <w:pPr>
        <w:ind w:left="5760" w:hanging="360"/>
      </w:pPr>
      <w:rPr>
        <w:rFonts w:ascii="Courier New" w:hAnsi="Courier New" w:cs="Courier New" w:hint="default"/>
      </w:rPr>
    </w:lvl>
    <w:lvl w:ilvl="8" w:tplc="D8421F12">
      <w:start w:val="1"/>
      <w:numFmt w:val="bullet"/>
      <w:lvlText w:val=""/>
      <w:lvlJc w:val="left"/>
      <w:pPr>
        <w:ind w:left="6480" w:hanging="360"/>
      </w:pPr>
      <w:rPr>
        <w:rFonts w:ascii="Wingdings" w:hAnsi="Wingdings" w:hint="default"/>
      </w:rPr>
    </w:lvl>
  </w:abstractNum>
  <w:abstractNum w:abstractNumId="43" w15:restartNumberingAfterBreak="0">
    <w:nsid w:val="3B35137D"/>
    <w:multiLevelType w:val="hybridMultilevel"/>
    <w:tmpl w:val="AD761B18"/>
    <w:lvl w:ilvl="0" w:tplc="C85607B6">
      <w:start w:val="1"/>
      <w:numFmt w:val="bullet"/>
      <w:lvlText w:val="•"/>
      <w:lvlJc w:val="left"/>
      <w:pPr>
        <w:ind w:left="720" w:hanging="360"/>
      </w:pPr>
      <w:rPr>
        <w:rFonts w:ascii="Calibri" w:hAnsi="Calibri" w:hint="default"/>
        <w:b w:val="0"/>
        <w:i w:val="0"/>
        <w:sz w:val="22"/>
      </w:rPr>
    </w:lvl>
    <w:lvl w:ilvl="1" w:tplc="26EEE6EA">
      <w:start w:val="1"/>
      <w:numFmt w:val="bullet"/>
      <w:lvlText w:val="o"/>
      <w:lvlJc w:val="left"/>
      <w:pPr>
        <w:ind w:left="1440" w:hanging="360"/>
      </w:pPr>
      <w:rPr>
        <w:rFonts w:ascii="Courier New" w:hAnsi="Courier New" w:cs="Courier New" w:hint="default"/>
      </w:rPr>
    </w:lvl>
    <w:lvl w:ilvl="2" w:tplc="4A7E460E">
      <w:start w:val="1"/>
      <w:numFmt w:val="bullet"/>
      <w:lvlText w:val=""/>
      <w:lvlJc w:val="left"/>
      <w:pPr>
        <w:ind w:left="2160" w:hanging="360"/>
      </w:pPr>
      <w:rPr>
        <w:rFonts w:ascii="Wingdings" w:hAnsi="Wingdings" w:hint="default"/>
      </w:rPr>
    </w:lvl>
    <w:lvl w:ilvl="3" w:tplc="E8E42B4C">
      <w:start w:val="1"/>
      <w:numFmt w:val="bullet"/>
      <w:lvlText w:val=""/>
      <w:lvlJc w:val="left"/>
      <w:pPr>
        <w:ind w:left="2880" w:hanging="360"/>
      </w:pPr>
      <w:rPr>
        <w:rFonts w:ascii="Symbol" w:hAnsi="Symbol" w:hint="default"/>
      </w:rPr>
    </w:lvl>
    <w:lvl w:ilvl="4" w:tplc="5298E1F0">
      <w:start w:val="1"/>
      <w:numFmt w:val="bullet"/>
      <w:lvlText w:val="o"/>
      <w:lvlJc w:val="left"/>
      <w:pPr>
        <w:ind w:left="3600" w:hanging="360"/>
      </w:pPr>
      <w:rPr>
        <w:rFonts w:ascii="Courier New" w:hAnsi="Courier New" w:cs="Courier New" w:hint="default"/>
      </w:rPr>
    </w:lvl>
    <w:lvl w:ilvl="5" w:tplc="4D5E9542">
      <w:start w:val="1"/>
      <w:numFmt w:val="bullet"/>
      <w:lvlText w:val=""/>
      <w:lvlJc w:val="left"/>
      <w:pPr>
        <w:ind w:left="4320" w:hanging="360"/>
      </w:pPr>
      <w:rPr>
        <w:rFonts w:ascii="Wingdings" w:hAnsi="Wingdings" w:hint="default"/>
      </w:rPr>
    </w:lvl>
    <w:lvl w:ilvl="6" w:tplc="871478C2">
      <w:start w:val="1"/>
      <w:numFmt w:val="bullet"/>
      <w:lvlText w:val=""/>
      <w:lvlJc w:val="left"/>
      <w:pPr>
        <w:ind w:left="5040" w:hanging="360"/>
      </w:pPr>
      <w:rPr>
        <w:rFonts w:ascii="Symbol" w:hAnsi="Symbol" w:hint="default"/>
      </w:rPr>
    </w:lvl>
    <w:lvl w:ilvl="7" w:tplc="3F760110">
      <w:start w:val="1"/>
      <w:numFmt w:val="bullet"/>
      <w:lvlText w:val="o"/>
      <w:lvlJc w:val="left"/>
      <w:pPr>
        <w:ind w:left="5760" w:hanging="360"/>
      </w:pPr>
      <w:rPr>
        <w:rFonts w:ascii="Courier New" w:hAnsi="Courier New" w:cs="Courier New" w:hint="default"/>
      </w:rPr>
    </w:lvl>
    <w:lvl w:ilvl="8" w:tplc="0B5AF4DC">
      <w:start w:val="1"/>
      <w:numFmt w:val="bullet"/>
      <w:lvlText w:val=""/>
      <w:lvlJc w:val="left"/>
      <w:pPr>
        <w:ind w:left="6480" w:hanging="360"/>
      </w:pPr>
      <w:rPr>
        <w:rFonts w:ascii="Wingdings" w:hAnsi="Wingdings" w:hint="default"/>
      </w:rPr>
    </w:lvl>
  </w:abstractNum>
  <w:abstractNum w:abstractNumId="44" w15:restartNumberingAfterBreak="0">
    <w:nsid w:val="3BE33DF7"/>
    <w:multiLevelType w:val="hybridMultilevel"/>
    <w:tmpl w:val="E2A0B9C8"/>
    <w:lvl w:ilvl="0" w:tplc="A2C015DA">
      <w:start w:val="1"/>
      <w:numFmt w:val="decimal"/>
      <w:lvlText w:val="%1."/>
      <w:lvlJc w:val="left"/>
      <w:pPr>
        <w:ind w:left="720" w:hanging="360"/>
      </w:pPr>
    </w:lvl>
    <w:lvl w:ilvl="1" w:tplc="A692B716">
      <w:start w:val="1"/>
      <w:numFmt w:val="lowerLetter"/>
      <w:lvlText w:val="%2."/>
      <w:lvlJc w:val="left"/>
      <w:pPr>
        <w:ind w:left="1440" w:hanging="360"/>
      </w:pPr>
    </w:lvl>
    <w:lvl w:ilvl="2" w:tplc="34923698">
      <w:start w:val="1"/>
      <w:numFmt w:val="lowerRoman"/>
      <w:lvlText w:val="%3."/>
      <w:lvlJc w:val="right"/>
      <w:pPr>
        <w:ind w:left="2160" w:hanging="180"/>
      </w:pPr>
    </w:lvl>
    <w:lvl w:ilvl="3" w:tplc="C05878F8">
      <w:start w:val="1"/>
      <w:numFmt w:val="decimal"/>
      <w:lvlText w:val="%4."/>
      <w:lvlJc w:val="left"/>
      <w:pPr>
        <w:ind w:left="2880" w:hanging="360"/>
      </w:pPr>
    </w:lvl>
    <w:lvl w:ilvl="4" w:tplc="1F06B1FA">
      <w:start w:val="1"/>
      <w:numFmt w:val="lowerLetter"/>
      <w:lvlText w:val="%5."/>
      <w:lvlJc w:val="left"/>
      <w:pPr>
        <w:ind w:left="3600" w:hanging="360"/>
      </w:pPr>
    </w:lvl>
    <w:lvl w:ilvl="5" w:tplc="71460500">
      <w:start w:val="1"/>
      <w:numFmt w:val="lowerRoman"/>
      <w:lvlText w:val="%6."/>
      <w:lvlJc w:val="right"/>
      <w:pPr>
        <w:ind w:left="4320" w:hanging="180"/>
      </w:pPr>
    </w:lvl>
    <w:lvl w:ilvl="6" w:tplc="43DE1E4E">
      <w:start w:val="1"/>
      <w:numFmt w:val="decimal"/>
      <w:lvlText w:val="%7."/>
      <w:lvlJc w:val="left"/>
      <w:pPr>
        <w:ind w:left="5040" w:hanging="360"/>
      </w:pPr>
    </w:lvl>
    <w:lvl w:ilvl="7" w:tplc="FA648BE4">
      <w:start w:val="1"/>
      <w:numFmt w:val="lowerLetter"/>
      <w:lvlText w:val="%8."/>
      <w:lvlJc w:val="left"/>
      <w:pPr>
        <w:ind w:left="5760" w:hanging="360"/>
      </w:pPr>
    </w:lvl>
    <w:lvl w:ilvl="8" w:tplc="3716ACA2">
      <w:start w:val="1"/>
      <w:numFmt w:val="lowerRoman"/>
      <w:lvlText w:val="%9."/>
      <w:lvlJc w:val="right"/>
      <w:pPr>
        <w:ind w:left="6480" w:hanging="180"/>
      </w:pPr>
    </w:lvl>
  </w:abstractNum>
  <w:abstractNum w:abstractNumId="45" w15:restartNumberingAfterBreak="0">
    <w:nsid w:val="3EC42739"/>
    <w:multiLevelType w:val="hybridMultilevel"/>
    <w:tmpl w:val="C8143AA8"/>
    <w:lvl w:ilvl="0" w:tplc="A52E65B6">
      <w:start w:val="1"/>
      <w:numFmt w:val="bullet"/>
      <w:lvlText w:val="•"/>
      <w:lvlJc w:val="left"/>
      <w:pPr>
        <w:ind w:left="720" w:hanging="360"/>
      </w:pPr>
      <w:rPr>
        <w:rFonts w:ascii="Calibri" w:hAnsi="Calibri" w:hint="default"/>
        <w:b w:val="0"/>
        <w:i w:val="0"/>
        <w:sz w:val="22"/>
      </w:rPr>
    </w:lvl>
    <w:lvl w:ilvl="1" w:tplc="812ABA22">
      <w:start w:val="1"/>
      <w:numFmt w:val="bullet"/>
      <w:lvlText w:val="o"/>
      <w:lvlJc w:val="left"/>
      <w:pPr>
        <w:ind w:left="1440" w:hanging="360"/>
      </w:pPr>
      <w:rPr>
        <w:rFonts w:ascii="Courier New" w:hAnsi="Courier New" w:cs="Courier New" w:hint="default"/>
      </w:rPr>
    </w:lvl>
    <w:lvl w:ilvl="2" w:tplc="21F0806A">
      <w:start w:val="1"/>
      <w:numFmt w:val="bullet"/>
      <w:lvlText w:val=""/>
      <w:lvlJc w:val="left"/>
      <w:pPr>
        <w:ind w:left="2160" w:hanging="360"/>
      </w:pPr>
      <w:rPr>
        <w:rFonts w:ascii="Wingdings" w:hAnsi="Wingdings" w:hint="default"/>
      </w:rPr>
    </w:lvl>
    <w:lvl w:ilvl="3" w:tplc="F9164930">
      <w:start w:val="1"/>
      <w:numFmt w:val="bullet"/>
      <w:lvlText w:val=""/>
      <w:lvlJc w:val="left"/>
      <w:pPr>
        <w:ind w:left="2880" w:hanging="360"/>
      </w:pPr>
      <w:rPr>
        <w:rFonts w:ascii="Symbol" w:hAnsi="Symbol" w:hint="default"/>
      </w:rPr>
    </w:lvl>
    <w:lvl w:ilvl="4" w:tplc="3F005296">
      <w:start w:val="1"/>
      <w:numFmt w:val="bullet"/>
      <w:lvlText w:val="o"/>
      <w:lvlJc w:val="left"/>
      <w:pPr>
        <w:ind w:left="3600" w:hanging="360"/>
      </w:pPr>
      <w:rPr>
        <w:rFonts w:ascii="Courier New" w:hAnsi="Courier New" w:cs="Courier New" w:hint="default"/>
      </w:rPr>
    </w:lvl>
    <w:lvl w:ilvl="5" w:tplc="AF749892">
      <w:start w:val="1"/>
      <w:numFmt w:val="bullet"/>
      <w:lvlText w:val=""/>
      <w:lvlJc w:val="left"/>
      <w:pPr>
        <w:ind w:left="4320" w:hanging="360"/>
      </w:pPr>
      <w:rPr>
        <w:rFonts w:ascii="Wingdings" w:hAnsi="Wingdings" w:hint="default"/>
      </w:rPr>
    </w:lvl>
    <w:lvl w:ilvl="6" w:tplc="A128F01A">
      <w:start w:val="1"/>
      <w:numFmt w:val="bullet"/>
      <w:lvlText w:val=""/>
      <w:lvlJc w:val="left"/>
      <w:pPr>
        <w:ind w:left="5040" w:hanging="360"/>
      </w:pPr>
      <w:rPr>
        <w:rFonts w:ascii="Symbol" w:hAnsi="Symbol" w:hint="default"/>
      </w:rPr>
    </w:lvl>
    <w:lvl w:ilvl="7" w:tplc="BB72A6D6">
      <w:start w:val="1"/>
      <w:numFmt w:val="bullet"/>
      <w:lvlText w:val="o"/>
      <w:lvlJc w:val="left"/>
      <w:pPr>
        <w:ind w:left="5760" w:hanging="360"/>
      </w:pPr>
      <w:rPr>
        <w:rFonts w:ascii="Courier New" w:hAnsi="Courier New" w:cs="Courier New" w:hint="default"/>
      </w:rPr>
    </w:lvl>
    <w:lvl w:ilvl="8" w:tplc="F5625CBC">
      <w:start w:val="1"/>
      <w:numFmt w:val="bullet"/>
      <w:lvlText w:val=""/>
      <w:lvlJc w:val="left"/>
      <w:pPr>
        <w:ind w:left="6480" w:hanging="360"/>
      </w:pPr>
      <w:rPr>
        <w:rFonts w:ascii="Wingdings" w:hAnsi="Wingdings" w:hint="default"/>
      </w:rPr>
    </w:lvl>
  </w:abstractNum>
  <w:abstractNum w:abstractNumId="46" w15:restartNumberingAfterBreak="0">
    <w:nsid w:val="3F834B38"/>
    <w:multiLevelType w:val="hybridMultilevel"/>
    <w:tmpl w:val="B78292FC"/>
    <w:lvl w:ilvl="0" w:tplc="31807E8A">
      <w:start w:val="1"/>
      <w:numFmt w:val="bullet"/>
      <w:lvlText w:val="•"/>
      <w:lvlJc w:val="left"/>
      <w:pPr>
        <w:ind w:left="720" w:hanging="360"/>
      </w:pPr>
      <w:rPr>
        <w:rFonts w:ascii="Calibri" w:hAnsi="Calibri" w:hint="default"/>
        <w:b w:val="0"/>
        <w:i w:val="0"/>
        <w:sz w:val="22"/>
      </w:rPr>
    </w:lvl>
    <w:lvl w:ilvl="1" w:tplc="DB5E5A42">
      <w:start w:val="1"/>
      <w:numFmt w:val="bullet"/>
      <w:lvlText w:val="o"/>
      <w:lvlJc w:val="left"/>
      <w:pPr>
        <w:ind w:left="1440" w:hanging="360"/>
      </w:pPr>
      <w:rPr>
        <w:rFonts w:ascii="Courier New" w:hAnsi="Courier New" w:cs="Courier New" w:hint="default"/>
        <w:b w:val="0"/>
        <w:i w:val="0"/>
        <w:sz w:val="22"/>
      </w:rPr>
    </w:lvl>
    <w:lvl w:ilvl="2" w:tplc="335A4F96">
      <w:start w:val="1"/>
      <w:numFmt w:val="bullet"/>
      <w:lvlText w:val=""/>
      <w:lvlJc w:val="left"/>
      <w:pPr>
        <w:ind w:left="2160" w:hanging="360"/>
      </w:pPr>
      <w:rPr>
        <w:rFonts w:ascii="Wingdings" w:hAnsi="Wingdings" w:hint="default"/>
      </w:rPr>
    </w:lvl>
    <w:lvl w:ilvl="3" w:tplc="BEEC03E4">
      <w:start w:val="1"/>
      <w:numFmt w:val="bullet"/>
      <w:lvlText w:val=""/>
      <w:lvlJc w:val="left"/>
      <w:pPr>
        <w:ind w:left="2880" w:hanging="360"/>
      </w:pPr>
      <w:rPr>
        <w:rFonts w:ascii="Symbol" w:hAnsi="Symbol" w:hint="default"/>
      </w:rPr>
    </w:lvl>
    <w:lvl w:ilvl="4" w:tplc="7EF894E4">
      <w:start w:val="1"/>
      <w:numFmt w:val="bullet"/>
      <w:lvlText w:val="o"/>
      <w:lvlJc w:val="left"/>
      <w:pPr>
        <w:ind w:left="3600" w:hanging="360"/>
      </w:pPr>
      <w:rPr>
        <w:rFonts w:ascii="Courier New" w:hAnsi="Courier New" w:cs="Courier New" w:hint="default"/>
      </w:rPr>
    </w:lvl>
    <w:lvl w:ilvl="5" w:tplc="98124F6E">
      <w:start w:val="1"/>
      <w:numFmt w:val="bullet"/>
      <w:lvlText w:val=""/>
      <w:lvlJc w:val="left"/>
      <w:pPr>
        <w:ind w:left="4320" w:hanging="360"/>
      </w:pPr>
      <w:rPr>
        <w:rFonts w:ascii="Wingdings" w:hAnsi="Wingdings" w:hint="default"/>
      </w:rPr>
    </w:lvl>
    <w:lvl w:ilvl="6" w:tplc="9C029986">
      <w:start w:val="1"/>
      <w:numFmt w:val="bullet"/>
      <w:lvlText w:val=""/>
      <w:lvlJc w:val="left"/>
      <w:pPr>
        <w:ind w:left="5040" w:hanging="360"/>
      </w:pPr>
      <w:rPr>
        <w:rFonts w:ascii="Symbol" w:hAnsi="Symbol" w:hint="default"/>
      </w:rPr>
    </w:lvl>
    <w:lvl w:ilvl="7" w:tplc="25CA2F38">
      <w:start w:val="1"/>
      <w:numFmt w:val="bullet"/>
      <w:lvlText w:val="o"/>
      <w:lvlJc w:val="left"/>
      <w:pPr>
        <w:ind w:left="5760" w:hanging="360"/>
      </w:pPr>
      <w:rPr>
        <w:rFonts w:ascii="Courier New" w:hAnsi="Courier New" w:cs="Courier New" w:hint="default"/>
      </w:rPr>
    </w:lvl>
    <w:lvl w:ilvl="8" w:tplc="EE1407F4">
      <w:start w:val="1"/>
      <w:numFmt w:val="bullet"/>
      <w:lvlText w:val=""/>
      <w:lvlJc w:val="left"/>
      <w:pPr>
        <w:ind w:left="6480" w:hanging="360"/>
      </w:pPr>
      <w:rPr>
        <w:rFonts w:ascii="Wingdings" w:hAnsi="Wingdings" w:hint="default"/>
      </w:rPr>
    </w:lvl>
  </w:abstractNum>
  <w:abstractNum w:abstractNumId="47" w15:restartNumberingAfterBreak="0">
    <w:nsid w:val="3FD22A39"/>
    <w:multiLevelType w:val="hybridMultilevel"/>
    <w:tmpl w:val="1684335A"/>
    <w:lvl w:ilvl="0" w:tplc="884EB810">
      <w:start w:val="1"/>
      <w:numFmt w:val="bullet"/>
      <w:lvlText w:val="•"/>
      <w:lvlJc w:val="left"/>
      <w:pPr>
        <w:ind w:left="720" w:hanging="360"/>
      </w:pPr>
      <w:rPr>
        <w:rFonts w:ascii="Calibri" w:hAnsi="Calibri" w:hint="default"/>
        <w:b w:val="0"/>
        <w:i w:val="0"/>
        <w:sz w:val="22"/>
      </w:rPr>
    </w:lvl>
    <w:lvl w:ilvl="1" w:tplc="BD8AF6B4">
      <w:start w:val="1"/>
      <w:numFmt w:val="bullet"/>
      <w:lvlText w:val="o"/>
      <w:lvlJc w:val="left"/>
      <w:pPr>
        <w:ind w:left="1440" w:hanging="360"/>
      </w:pPr>
      <w:rPr>
        <w:rFonts w:ascii="Courier New" w:hAnsi="Courier New" w:cs="Courier New" w:hint="default"/>
      </w:rPr>
    </w:lvl>
    <w:lvl w:ilvl="2" w:tplc="FD846FAE">
      <w:start w:val="1"/>
      <w:numFmt w:val="bullet"/>
      <w:lvlText w:val=""/>
      <w:lvlJc w:val="left"/>
      <w:pPr>
        <w:ind w:left="2160" w:hanging="360"/>
      </w:pPr>
      <w:rPr>
        <w:rFonts w:ascii="Wingdings" w:hAnsi="Wingdings" w:hint="default"/>
      </w:rPr>
    </w:lvl>
    <w:lvl w:ilvl="3" w:tplc="FBA6B96C">
      <w:start w:val="1"/>
      <w:numFmt w:val="bullet"/>
      <w:lvlText w:val=""/>
      <w:lvlJc w:val="left"/>
      <w:pPr>
        <w:ind w:left="2880" w:hanging="360"/>
      </w:pPr>
      <w:rPr>
        <w:rFonts w:ascii="Symbol" w:hAnsi="Symbol" w:hint="default"/>
      </w:rPr>
    </w:lvl>
    <w:lvl w:ilvl="4" w:tplc="08340E44">
      <w:start w:val="1"/>
      <w:numFmt w:val="bullet"/>
      <w:lvlText w:val="o"/>
      <w:lvlJc w:val="left"/>
      <w:pPr>
        <w:ind w:left="3600" w:hanging="360"/>
      </w:pPr>
      <w:rPr>
        <w:rFonts w:ascii="Courier New" w:hAnsi="Courier New" w:cs="Courier New" w:hint="default"/>
      </w:rPr>
    </w:lvl>
    <w:lvl w:ilvl="5" w:tplc="AB009FE4">
      <w:start w:val="1"/>
      <w:numFmt w:val="bullet"/>
      <w:lvlText w:val=""/>
      <w:lvlJc w:val="left"/>
      <w:pPr>
        <w:ind w:left="4320" w:hanging="360"/>
      </w:pPr>
      <w:rPr>
        <w:rFonts w:ascii="Wingdings" w:hAnsi="Wingdings" w:hint="default"/>
      </w:rPr>
    </w:lvl>
    <w:lvl w:ilvl="6" w:tplc="8D08FBC8">
      <w:start w:val="1"/>
      <w:numFmt w:val="bullet"/>
      <w:lvlText w:val=""/>
      <w:lvlJc w:val="left"/>
      <w:pPr>
        <w:ind w:left="5040" w:hanging="360"/>
      </w:pPr>
      <w:rPr>
        <w:rFonts w:ascii="Symbol" w:hAnsi="Symbol" w:hint="default"/>
      </w:rPr>
    </w:lvl>
    <w:lvl w:ilvl="7" w:tplc="E62CE2DC">
      <w:start w:val="1"/>
      <w:numFmt w:val="bullet"/>
      <w:lvlText w:val="o"/>
      <w:lvlJc w:val="left"/>
      <w:pPr>
        <w:ind w:left="5760" w:hanging="360"/>
      </w:pPr>
      <w:rPr>
        <w:rFonts w:ascii="Courier New" w:hAnsi="Courier New" w:cs="Courier New" w:hint="default"/>
      </w:rPr>
    </w:lvl>
    <w:lvl w:ilvl="8" w:tplc="CC8252A0">
      <w:start w:val="1"/>
      <w:numFmt w:val="bullet"/>
      <w:lvlText w:val=""/>
      <w:lvlJc w:val="left"/>
      <w:pPr>
        <w:ind w:left="6480" w:hanging="360"/>
      </w:pPr>
      <w:rPr>
        <w:rFonts w:ascii="Wingdings" w:hAnsi="Wingdings" w:hint="default"/>
      </w:rPr>
    </w:lvl>
  </w:abstractNum>
  <w:abstractNum w:abstractNumId="48" w15:restartNumberingAfterBreak="0">
    <w:nsid w:val="40F402B4"/>
    <w:multiLevelType w:val="hybridMultilevel"/>
    <w:tmpl w:val="B41892E2"/>
    <w:lvl w:ilvl="0" w:tplc="76062B48">
      <w:start w:val="1"/>
      <w:numFmt w:val="bullet"/>
      <w:lvlText w:val="•"/>
      <w:lvlJc w:val="left"/>
      <w:pPr>
        <w:ind w:left="720" w:hanging="360"/>
      </w:pPr>
      <w:rPr>
        <w:rFonts w:ascii="Calibri" w:hAnsi="Calibri" w:hint="default"/>
        <w:b w:val="0"/>
        <w:i w:val="0"/>
        <w:sz w:val="22"/>
      </w:rPr>
    </w:lvl>
    <w:lvl w:ilvl="1" w:tplc="CD109C4C">
      <w:start w:val="1"/>
      <w:numFmt w:val="bullet"/>
      <w:lvlText w:val="o"/>
      <w:lvlJc w:val="left"/>
      <w:pPr>
        <w:ind w:left="1440" w:hanging="360"/>
      </w:pPr>
      <w:rPr>
        <w:rFonts w:ascii="Courier New" w:hAnsi="Courier New" w:cs="Courier New" w:hint="default"/>
      </w:rPr>
    </w:lvl>
    <w:lvl w:ilvl="2" w:tplc="839A202A">
      <w:start w:val="1"/>
      <w:numFmt w:val="bullet"/>
      <w:lvlText w:val=""/>
      <w:lvlJc w:val="left"/>
      <w:pPr>
        <w:ind w:left="2160" w:hanging="360"/>
      </w:pPr>
      <w:rPr>
        <w:rFonts w:ascii="Wingdings" w:hAnsi="Wingdings" w:hint="default"/>
      </w:rPr>
    </w:lvl>
    <w:lvl w:ilvl="3" w:tplc="3CD404C6">
      <w:start w:val="1"/>
      <w:numFmt w:val="bullet"/>
      <w:lvlText w:val=""/>
      <w:lvlJc w:val="left"/>
      <w:pPr>
        <w:ind w:left="2880" w:hanging="360"/>
      </w:pPr>
      <w:rPr>
        <w:rFonts w:ascii="Symbol" w:hAnsi="Symbol" w:hint="default"/>
      </w:rPr>
    </w:lvl>
    <w:lvl w:ilvl="4" w:tplc="9940CF54">
      <w:start w:val="1"/>
      <w:numFmt w:val="bullet"/>
      <w:lvlText w:val="o"/>
      <w:lvlJc w:val="left"/>
      <w:pPr>
        <w:ind w:left="3600" w:hanging="360"/>
      </w:pPr>
      <w:rPr>
        <w:rFonts w:ascii="Courier New" w:hAnsi="Courier New" w:cs="Courier New" w:hint="default"/>
      </w:rPr>
    </w:lvl>
    <w:lvl w:ilvl="5" w:tplc="81D8E3D4">
      <w:start w:val="1"/>
      <w:numFmt w:val="bullet"/>
      <w:lvlText w:val=""/>
      <w:lvlJc w:val="left"/>
      <w:pPr>
        <w:ind w:left="4320" w:hanging="360"/>
      </w:pPr>
      <w:rPr>
        <w:rFonts w:ascii="Wingdings" w:hAnsi="Wingdings" w:hint="default"/>
      </w:rPr>
    </w:lvl>
    <w:lvl w:ilvl="6" w:tplc="FC527156">
      <w:start w:val="1"/>
      <w:numFmt w:val="bullet"/>
      <w:lvlText w:val=""/>
      <w:lvlJc w:val="left"/>
      <w:pPr>
        <w:ind w:left="5040" w:hanging="360"/>
      </w:pPr>
      <w:rPr>
        <w:rFonts w:ascii="Symbol" w:hAnsi="Symbol" w:hint="default"/>
      </w:rPr>
    </w:lvl>
    <w:lvl w:ilvl="7" w:tplc="5450DFCE">
      <w:start w:val="1"/>
      <w:numFmt w:val="bullet"/>
      <w:lvlText w:val="o"/>
      <w:lvlJc w:val="left"/>
      <w:pPr>
        <w:ind w:left="5760" w:hanging="360"/>
      </w:pPr>
      <w:rPr>
        <w:rFonts w:ascii="Courier New" w:hAnsi="Courier New" w:cs="Courier New" w:hint="default"/>
      </w:rPr>
    </w:lvl>
    <w:lvl w:ilvl="8" w:tplc="8692F4D0">
      <w:start w:val="1"/>
      <w:numFmt w:val="bullet"/>
      <w:lvlText w:val=""/>
      <w:lvlJc w:val="left"/>
      <w:pPr>
        <w:ind w:left="6480" w:hanging="360"/>
      </w:pPr>
      <w:rPr>
        <w:rFonts w:ascii="Wingdings" w:hAnsi="Wingdings" w:hint="default"/>
      </w:rPr>
    </w:lvl>
  </w:abstractNum>
  <w:abstractNum w:abstractNumId="49" w15:restartNumberingAfterBreak="0">
    <w:nsid w:val="4313702E"/>
    <w:multiLevelType w:val="hybridMultilevel"/>
    <w:tmpl w:val="E1E81C9A"/>
    <w:lvl w:ilvl="0" w:tplc="ABC4206C">
      <w:start w:val="1"/>
      <w:numFmt w:val="bullet"/>
      <w:lvlText w:val="•"/>
      <w:lvlJc w:val="left"/>
      <w:pPr>
        <w:ind w:left="720" w:hanging="360"/>
      </w:pPr>
      <w:rPr>
        <w:rFonts w:ascii="Calibri" w:hAnsi="Calibri" w:hint="default"/>
        <w:b w:val="0"/>
        <w:i w:val="0"/>
        <w:sz w:val="22"/>
      </w:rPr>
    </w:lvl>
    <w:lvl w:ilvl="1" w:tplc="3DDEC3BC">
      <w:start w:val="1"/>
      <w:numFmt w:val="bullet"/>
      <w:lvlText w:val="o"/>
      <w:lvlJc w:val="left"/>
      <w:pPr>
        <w:ind w:left="1440" w:hanging="360"/>
      </w:pPr>
      <w:rPr>
        <w:rFonts w:ascii="Courier New" w:hAnsi="Courier New" w:cs="Courier New" w:hint="default"/>
      </w:rPr>
    </w:lvl>
    <w:lvl w:ilvl="2" w:tplc="79EE13CE">
      <w:start w:val="1"/>
      <w:numFmt w:val="bullet"/>
      <w:lvlText w:val=""/>
      <w:lvlJc w:val="left"/>
      <w:pPr>
        <w:ind w:left="2160" w:hanging="360"/>
      </w:pPr>
      <w:rPr>
        <w:rFonts w:ascii="Wingdings" w:hAnsi="Wingdings" w:hint="default"/>
      </w:rPr>
    </w:lvl>
    <w:lvl w:ilvl="3" w:tplc="21A29780">
      <w:start w:val="1"/>
      <w:numFmt w:val="bullet"/>
      <w:lvlText w:val=""/>
      <w:lvlJc w:val="left"/>
      <w:pPr>
        <w:ind w:left="2880" w:hanging="360"/>
      </w:pPr>
      <w:rPr>
        <w:rFonts w:ascii="Symbol" w:hAnsi="Symbol" w:hint="default"/>
      </w:rPr>
    </w:lvl>
    <w:lvl w:ilvl="4" w:tplc="7ABAB00C">
      <w:start w:val="1"/>
      <w:numFmt w:val="bullet"/>
      <w:lvlText w:val="o"/>
      <w:lvlJc w:val="left"/>
      <w:pPr>
        <w:ind w:left="3600" w:hanging="360"/>
      </w:pPr>
      <w:rPr>
        <w:rFonts w:ascii="Courier New" w:hAnsi="Courier New" w:cs="Courier New" w:hint="default"/>
      </w:rPr>
    </w:lvl>
    <w:lvl w:ilvl="5" w:tplc="4AD8CD2C">
      <w:start w:val="1"/>
      <w:numFmt w:val="bullet"/>
      <w:lvlText w:val=""/>
      <w:lvlJc w:val="left"/>
      <w:pPr>
        <w:ind w:left="4320" w:hanging="360"/>
      </w:pPr>
      <w:rPr>
        <w:rFonts w:ascii="Wingdings" w:hAnsi="Wingdings" w:hint="default"/>
      </w:rPr>
    </w:lvl>
    <w:lvl w:ilvl="6" w:tplc="CBC6E1D6">
      <w:start w:val="1"/>
      <w:numFmt w:val="bullet"/>
      <w:lvlText w:val=""/>
      <w:lvlJc w:val="left"/>
      <w:pPr>
        <w:ind w:left="5040" w:hanging="360"/>
      </w:pPr>
      <w:rPr>
        <w:rFonts w:ascii="Symbol" w:hAnsi="Symbol" w:hint="default"/>
      </w:rPr>
    </w:lvl>
    <w:lvl w:ilvl="7" w:tplc="92CE64FE">
      <w:start w:val="1"/>
      <w:numFmt w:val="bullet"/>
      <w:lvlText w:val="o"/>
      <w:lvlJc w:val="left"/>
      <w:pPr>
        <w:ind w:left="5760" w:hanging="360"/>
      </w:pPr>
      <w:rPr>
        <w:rFonts w:ascii="Courier New" w:hAnsi="Courier New" w:cs="Courier New" w:hint="default"/>
      </w:rPr>
    </w:lvl>
    <w:lvl w:ilvl="8" w:tplc="D2164792">
      <w:start w:val="1"/>
      <w:numFmt w:val="bullet"/>
      <w:lvlText w:val=""/>
      <w:lvlJc w:val="left"/>
      <w:pPr>
        <w:ind w:left="6480" w:hanging="360"/>
      </w:pPr>
      <w:rPr>
        <w:rFonts w:ascii="Wingdings" w:hAnsi="Wingdings" w:hint="default"/>
      </w:rPr>
    </w:lvl>
  </w:abstractNum>
  <w:abstractNum w:abstractNumId="50" w15:restartNumberingAfterBreak="0">
    <w:nsid w:val="43BC344A"/>
    <w:multiLevelType w:val="hybridMultilevel"/>
    <w:tmpl w:val="633A30C6"/>
    <w:lvl w:ilvl="0" w:tplc="A68E22FC">
      <w:start w:val="1"/>
      <w:numFmt w:val="bullet"/>
      <w:lvlText w:val="•"/>
      <w:lvlJc w:val="left"/>
      <w:pPr>
        <w:ind w:left="720" w:hanging="360"/>
      </w:pPr>
      <w:rPr>
        <w:rFonts w:ascii="Calibri" w:hAnsi="Calibri" w:hint="default"/>
        <w:b w:val="0"/>
        <w:i w:val="0"/>
        <w:sz w:val="22"/>
      </w:rPr>
    </w:lvl>
    <w:lvl w:ilvl="1" w:tplc="821C0F48">
      <w:start w:val="1"/>
      <w:numFmt w:val="bullet"/>
      <w:lvlText w:val="o"/>
      <w:lvlJc w:val="left"/>
      <w:pPr>
        <w:ind w:left="1440" w:hanging="360"/>
      </w:pPr>
      <w:rPr>
        <w:rFonts w:ascii="Courier New" w:hAnsi="Courier New" w:cs="Courier New" w:hint="default"/>
      </w:rPr>
    </w:lvl>
    <w:lvl w:ilvl="2" w:tplc="B9905350">
      <w:start w:val="1"/>
      <w:numFmt w:val="bullet"/>
      <w:lvlText w:val=""/>
      <w:lvlJc w:val="left"/>
      <w:pPr>
        <w:ind w:left="2160" w:hanging="360"/>
      </w:pPr>
      <w:rPr>
        <w:rFonts w:ascii="Wingdings" w:hAnsi="Wingdings" w:hint="default"/>
      </w:rPr>
    </w:lvl>
    <w:lvl w:ilvl="3" w:tplc="80082FC2">
      <w:start w:val="1"/>
      <w:numFmt w:val="bullet"/>
      <w:lvlText w:val=""/>
      <w:lvlJc w:val="left"/>
      <w:pPr>
        <w:ind w:left="2880" w:hanging="360"/>
      </w:pPr>
      <w:rPr>
        <w:rFonts w:ascii="Symbol" w:hAnsi="Symbol" w:hint="default"/>
      </w:rPr>
    </w:lvl>
    <w:lvl w:ilvl="4" w:tplc="9E78DA64">
      <w:start w:val="1"/>
      <w:numFmt w:val="bullet"/>
      <w:lvlText w:val="o"/>
      <w:lvlJc w:val="left"/>
      <w:pPr>
        <w:ind w:left="3600" w:hanging="360"/>
      </w:pPr>
      <w:rPr>
        <w:rFonts w:ascii="Courier New" w:hAnsi="Courier New" w:cs="Courier New" w:hint="default"/>
      </w:rPr>
    </w:lvl>
    <w:lvl w:ilvl="5" w:tplc="E2486D78">
      <w:start w:val="1"/>
      <w:numFmt w:val="bullet"/>
      <w:lvlText w:val=""/>
      <w:lvlJc w:val="left"/>
      <w:pPr>
        <w:ind w:left="4320" w:hanging="360"/>
      </w:pPr>
      <w:rPr>
        <w:rFonts w:ascii="Wingdings" w:hAnsi="Wingdings" w:hint="default"/>
      </w:rPr>
    </w:lvl>
    <w:lvl w:ilvl="6" w:tplc="124064F4">
      <w:start w:val="1"/>
      <w:numFmt w:val="bullet"/>
      <w:lvlText w:val=""/>
      <w:lvlJc w:val="left"/>
      <w:pPr>
        <w:ind w:left="5040" w:hanging="360"/>
      </w:pPr>
      <w:rPr>
        <w:rFonts w:ascii="Symbol" w:hAnsi="Symbol" w:hint="default"/>
      </w:rPr>
    </w:lvl>
    <w:lvl w:ilvl="7" w:tplc="742C19D8">
      <w:start w:val="1"/>
      <w:numFmt w:val="bullet"/>
      <w:lvlText w:val="o"/>
      <w:lvlJc w:val="left"/>
      <w:pPr>
        <w:ind w:left="5760" w:hanging="360"/>
      </w:pPr>
      <w:rPr>
        <w:rFonts w:ascii="Courier New" w:hAnsi="Courier New" w:cs="Courier New" w:hint="default"/>
      </w:rPr>
    </w:lvl>
    <w:lvl w:ilvl="8" w:tplc="BCC0A526">
      <w:start w:val="1"/>
      <w:numFmt w:val="bullet"/>
      <w:lvlText w:val=""/>
      <w:lvlJc w:val="left"/>
      <w:pPr>
        <w:ind w:left="6480" w:hanging="360"/>
      </w:pPr>
      <w:rPr>
        <w:rFonts w:ascii="Wingdings" w:hAnsi="Wingdings" w:hint="default"/>
      </w:rPr>
    </w:lvl>
  </w:abstractNum>
  <w:abstractNum w:abstractNumId="51" w15:restartNumberingAfterBreak="0">
    <w:nsid w:val="43CE0449"/>
    <w:multiLevelType w:val="hybridMultilevel"/>
    <w:tmpl w:val="14EE2C56"/>
    <w:lvl w:ilvl="0" w:tplc="3308393E">
      <w:start w:val="1"/>
      <w:numFmt w:val="bullet"/>
      <w:lvlText w:val="•"/>
      <w:lvlJc w:val="left"/>
      <w:pPr>
        <w:ind w:left="720" w:hanging="360"/>
      </w:pPr>
      <w:rPr>
        <w:rFonts w:ascii="Calibri" w:hAnsi="Calibri" w:hint="default"/>
        <w:b w:val="0"/>
        <w:i w:val="0"/>
        <w:sz w:val="22"/>
      </w:rPr>
    </w:lvl>
    <w:lvl w:ilvl="1" w:tplc="6A083DC4">
      <w:start w:val="1"/>
      <w:numFmt w:val="bullet"/>
      <w:lvlText w:val="o"/>
      <w:lvlJc w:val="left"/>
      <w:pPr>
        <w:ind w:left="1440" w:hanging="360"/>
      </w:pPr>
      <w:rPr>
        <w:rFonts w:ascii="Courier New" w:hAnsi="Courier New" w:cs="Courier New" w:hint="default"/>
      </w:rPr>
    </w:lvl>
    <w:lvl w:ilvl="2" w:tplc="0CE869A8">
      <w:start w:val="1"/>
      <w:numFmt w:val="bullet"/>
      <w:lvlText w:val=""/>
      <w:lvlJc w:val="left"/>
      <w:pPr>
        <w:ind w:left="2160" w:hanging="360"/>
      </w:pPr>
      <w:rPr>
        <w:rFonts w:ascii="Wingdings" w:hAnsi="Wingdings" w:hint="default"/>
      </w:rPr>
    </w:lvl>
    <w:lvl w:ilvl="3" w:tplc="D0447060">
      <w:start w:val="1"/>
      <w:numFmt w:val="bullet"/>
      <w:lvlText w:val=""/>
      <w:lvlJc w:val="left"/>
      <w:pPr>
        <w:ind w:left="2880" w:hanging="360"/>
      </w:pPr>
      <w:rPr>
        <w:rFonts w:ascii="Symbol" w:hAnsi="Symbol" w:hint="default"/>
      </w:rPr>
    </w:lvl>
    <w:lvl w:ilvl="4" w:tplc="705AA6FC">
      <w:start w:val="1"/>
      <w:numFmt w:val="bullet"/>
      <w:lvlText w:val="o"/>
      <w:lvlJc w:val="left"/>
      <w:pPr>
        <w:ind w:left="3600" w:hanging="360"/>
      </w:pPr>
      <w:rPr>
        <w:rFonts w:ascii="Courier New" w:hAnsi="Courier New" w:cs="Courier New" w:hint="default"/>
      </w:rPr>
    </w:lvl>
    <w:lvl w:ilvl="5" w:tplc="BF828B92">
      <w:start w:val="1"/>
      <w:numFmt w:val="bullet"/>
      <w:lvlText w:val=""/>
      <w:lvlJc w:val="left"/>
      <w:pPr>
        <w:ind w:left="4320" w:hanging="360"/>
      </w:pPr>
      <w:rPr>
        <w:rFonts w:ascii="Wingdings" w:hAnsi="Wingdings" w:hint="default"/>
      </w:rPr>
    </w:lvl>
    <w:lvl w:ilvl="6" w:tplc="DFCE61E8">
      <w:start w:val="1"/>
      <w:numFmt w:val="bullet"/>
      <w:lvlText w:val=""/>
      <w:lvlJc w:val="left"/>
      <w:pPr>
        <w:ind w:left="5040" w:hanging="360"/>
      </w:pPr>
      <w:rPr>
        <w:rFonts w:ascii="Symbol" w:hAnsi="Symbol" w:hint="default"/>
      </w:rPr>
    </w:lvl>
    <w:lvl w:ilvl="7" w:tplc="60BC6F3C">
      <w:start w:val="1"/>
      <w:numFmt w:val="bullet"/>
      <w:lvlText w:val="o"/>
      <w:lvlJc w:val="left"/>
      <w:pPr>
        <w:ind w:left="5760" w:hanging="360"/>
      </w:pPr>
      <w:rPr>
        <w:rFonts w:ascii="Courier New" w:hAnsi="Courier New" w:cs="Courier New" w:hint="default"/>
      </w:rPr>
    </w:lvl>
    <w:lvl w:ilvl="8" w:tplc="F32220C2">
      <w:start w:val="1"/>
      <w:numFmt w:val="bullet"/>
      <w:lvlText w:val=""/>
      <w:lvlJc w:val="left"/>
      <w:pPr>
        <w:ind w:left="6480" w:hanging="360"/>
      </w:pPr>
      <w:rPr>
        <w:rFonts w:ascii="Wingdings" w:hAnsi="Wingdings" w:hint="default"/>
      </w:rPr>
    </w:lvl>
  </w:abstractNum>
  <w:abstractNum w:abstractNumId="52" w15:restartNumberingAfterBreak="0">
    <w:nsid w:val="44BA5474"/>
    <w:multiLevelType w:val="hybridMultilevel"/>
    <w:tmpl w:val="5934877A"/>
    <w:lvl w:ilvl="0" w:tplc="F3F24832">
      <w:start w:val="1"/>
      <w:numFmt w:val="bullet"/>
      <w:lvlText w:val="•"/>
      <w:lvlJc w:val="left"/>
      <w:pPr>
        <w:ind w:left="720" w:hanging="360"/>
      </w:pPr>
      <w:rPr>
        <w:rFonts w:ascii="Calibri" w:hAnsi="Calibri" w:hint="default"/>
        <w:b w:val="0"/>
        <w:i w:val="0"/>
        <w:sz w:val="22"/>
      </w:rPr>
    </w:lvl>
    <w:lvl w:ilvl="1" w:tplc="3C387E0C">
      <w:start w:val="1"/>
      <w:numFmt w:val="bullet"/>
      <w:lvlText w:val="o"/>
      <w:lvlJc w:val="left"/>
      <w:pPr>
        <w:ind w:left="1440" w:hanging="360"/>
      </w:pPr>
      <w:rPr>
        <w:rFonts w:ascii="Courier New" w:hAnsi="Courier New" w:cs="Courier New" w:hint="default"/>
      </w:rPr>
    </w:lvl>
    <w:lvl w:ilvl="2" w:tplc="FAE488F6">
      <w:start w:val="1"/>
      <w:numFmt w:val="bullet"/>
      <w:lvlText w:val=""/>
      <w:lvlJc w:val="left"/>
      <w:pPr>
        <w:ind w:left="2160" w:hanging="360"/>
      </w:pPr>
      <w:rPr>
        <w:rFonts w:ascii="Wingdings" w:hAnsi="Wingdings" w:hint="default"/>
      </w:rPr>
    </w:lvl>
    <w:lvl w:ilvl="3" w:tplc="E528C1BA">
      <w:start w:val="1"/>
      <w:numFmt w:val="bullet"/>
      <w:lvlText w:val=""/>
      <w:lvlJc w:val="left"/>
      <w:pPr>
        <w:ind w:left="2880" w:hanging="360"/>
      </w:pPr>
      <w:rPr>
        <w:rFonts w:ascii="Symbol" w:hAnsi="Symbol" w:hint="default"/>
      </w:rPr>
    </w:lvl>
    <w:lvl w:ilvl="4" w:tplc="6E3C92AA">
      <w:start w:val="1"/>
      <w:numFmt w:val="bullet"/>
      <w:lvlText w:val="o"/>
      <w:lvlJc w:val="left"/>
      <w:pPr>
        <w:ind w:left="3600" w:hanging="360"/>
      </w:pPr>
      <w:rPr>
        <w:rFonts w:ascii="Courier New" w:hAnsi="Courier New" w:cs="Courier New" w:hint="default"/>
      </w:rPr>
    </w:lvl>
    <w:lvl w:ilvl="5" w:tplc="1B1EA6BC">
      <w:start w:val="1"/>
      <w:numFmt w:val="bullet"/>
      <w:lvlText w:val=""/>
      <w:lvlJc w:val="left"/>
      <w:pPr>
        <w:ind w:left="4320" w:hanging="360"/>
      </w:pPr>
      <w:rPr>
        <w:rFonts w:ascii="Wingdings" w:hAnsi="Wingdings" w:hint="default"/>
      </w:rPr>
    </w:lvl>
    <w:lvl w:ilvl="6" w:tplc="E378FA4C">
      <w:start w:val="1"/>
      <w:numFmt w:val="bullet"/>
      <w:lvlText w:val=""/>
      <w:lvlJc w:val="left"/>
      <w:pPr>
        <w:ind w:left="5040" w:hanging="360"/>
      </w:pPr>
      <w:rPr>
        <w:rFonts w:ascii="Symbol" w:hAnsi="Symbol" w:hint="default"/>
      </w:rPr>
    </w:lvl>
    <w:lvl w:ilvl="7" w:tplc="DA9E7346">
      <w:start w:val="1"/>
      <w:numFmt w:val="bullet"/>
      <w:lvlText w:val="o"/>
      <w:lvlJc w:val="left"/>
      <w:pPr>
        <w:ind w:left="5760" w:hanging="360"/>
      </w:pPr>
      <w:rPr>
        <w:rFonts w:ascii="Courier New" w:hAnsi="Courier New" w:cs="Courier New" w:hint="default"/>
      </w:rPr>
    </w:lvl>
    <w:lvl w:ilvl="8" w:tplc="DC44DC54">
      <w:start w:val="1"/>
      <w:numFmt w:val="bullet"/>
      <w:lvlText w:val=""/>
      <w:lvlJc w:val="left"/>
      <w:pPr>
        <w:ind w:left="6480" w:hanging="360"/>
      </w:pPr>
      <w:rPr>
        <w:rFonts w:ascii="Wingdings" w:hAnsi="Wingdings" w:hint="default"/>
      </w:rPr>
    </w:lvl>
  </w:abstractNum>
  <w:abstractNum w:abstractNumId="53" w15:restartNumberingAfterBreak="0">
    <w:nsid w:val="460B5C10"/>
    <w:multiLevelType w:val="hybridMultilevel"/>
    <w:tmpl w:val="1AE42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8446CC"/>
    <w:multiLevelType w:val="hybridMultilevel"/>
    <w:tmpl w:val="84EA940E"/>
    <w:lvl w:ilvl="0" w:tplc="7AAED13E">
      <w:start w:val="1"/>
      <w:numFmt w:val="bullet"/>
      <w:lvlText w:val="•"/>
      <w:lvlJc w:val="left"/>
      <w:pPr>
        <w:ind w:left="1080" w:hanging="360"/>
      </w:pPr>
      <w:rPr>
        <w:rFonts w:ascii="Calibri" w:hAnsi="Calibri" w:hint="default"/>
        <w:b w:val="0"/>
        <w:i w:val="0"/>
        <w:sz w:val="22"/>
      </w:rPr>
    </w:lvl>
    <w:lvl w:ilvl="1" w:tplc="C50C17D6">
      <w:start w:val="1"/>
      <w:numFmt w:val="bullet"/>
      <w:lvlText w:val="o"/>
      <w:lvlJc w:val="left"/>
      <w:pPr>
        <w:ind w:left="1800" w:hanging="360"/>
      </w:pPr>
      <w:rPr>
        <w:rFonts w:ascii="Courier New" w:hAnsi="Courier New" w:cs="Courier New" w:hint="default"/>
      </w:rPr>
    </w:lvl>
    <w:lvl w:ilvl="2" w:tplc="C9007D72">
      <w:start w:val="1"/>
      <w:numFmt w:val="bullet"/>
      <w:lvlText w:val=""/>
      <w:lvlJc w:val="left"/>
      <w:pPr>
        <w:ind w:left="2520" w:hanging="360"/>
      </w:pPr>
      <w:rPr>
        <w:rFonts w:ascii="Wingdings" w:hAnsi="Wingdings" w:hint="default"/>
      </w:rPr>
    </w:lvl>
    <w:lvl w:ilvl="3" w:tplc="F66E64AA">
      <w:start w:val="1"/>
      <w:numFmt w:val="bullet"/>
      <w:lvlText w:val=""/>
      <w:lvlJc w:val="left"/>
      <w:pPr>
        <w:ind w:left="3240" w:hanging="360"/>
      </w:pPr>
      <w:rPr>
        <w:rFonts w:ascii="Symbol" w:hAnsi="Symbol" w:hint="default"/>
      </w:rPr>
    </w:lvl>
    <w:lvl w:ilvl="4" w:tplc="3C6A043E">
      <w:start w:val="1"/>
      <w:numFmt w:val="bullet"/>
      <w:lvlText w:val="o"/>
      <w:lvlJc w:val="left"/>
      <w:pPr>
        <w:ind w:left="3960" w:hanging="360"/>
      </w:pPr>
      <w:rPr>
        <w:rFonts w:ascii="Courier New" w:hAnsi="Courier New" w:cs="Courier New" w:hint="default"/>
      </w:rPr>
    </w:lvl>
    <w:lvl w:ilvl="5" w:tplc="14EE6DE8">
      <w:start w:val="1"/>
      <w:numFmt w:val="bullet"/>
      <w:lvlText w:val=""/>
      <w:lvlJc w:val="left"/>
      <w:pPr>
        <w:ind w:left="4680" w:hanging="360"/>
      </w:pPr>
      <w:rPr>
        <w:rFonts w:ascii="Wingdings" w:hAnsi="Wingdings" w:hint="default"/>
      </w:rPr>
    </w:lvl>
    <w:lvl w:ilvl="6" w:tplc="CACA3890">
      <w:start w:val="1"/>
      <w:numFmt w:val="bullet"/>
      <w:lvlText w:val=""/>
      <w:lvlJc w:val="left"/>
      <w:pPr>
        <w:ind w:left="5400" w:hanging="360"/>
      </w:pPr>
      <w:rPr>
        <w:rFonts w:ascii="Symbol" w:hAnsi="Symbol" w:hint="default"/>
      </w:rPr>
    </w:lvl>
    <w:lvl w:ilvl="7" w:tplc="4E3241DA">
      <w:start w:val="1"/>
      <w:numFmt w:val="bullet"/>
      <w:lvlText w:val="o"/>
      <w:lvlJc w:val="left"/>
      <w:pPr>
        <w:ind w:left="6120" w:hanging="360"/>
      </w:pPr>
      <w:rPr>
        <w:rFonts w:ascii="Courier New" w:hAnsi="Courier New" w:cs="Courier New" w:hint="default"/>
      </w:rPr>
    </w:lvl>
    <w:lvl w:ilvl="8" w:tplc="9236B466">
      <w:start w:val="1"/>
      <w:numFmt w:val="bullet"/>
      <w:lvlText w:val=""/>
      <w:lvlJc w:val="left"/>
      <w:pPr>
        <w:ind w:left="6840" w:hanging="360"/>
      </w:pPr>
      <w:rPr>
        <w:rFonts w:ascii="Wingdings" w:hAnsi="Wingdings" w:hint="default"/>
      </w:rPr>
    </w:lvl>
  </w:abstractNum>
  <w:abstractNum w:abstractNumId="55" w15:restartNumberingAfterBreak="0">
    <w:nsid w:val="49AF091D"/>
    <w:multiLevelType w:val="hybridMultilevel"/>
    <w:tmpl w:val="B88ED8A2"/>
    <w:lvl w:ilvl="0" w:tplc="4182902A">
      <w:start w:val="1"/>
      <w:numFmt w:val="bullet"/>
      <w:lvlText w:val="•"/>
      <w:lvlJc w:val="left"/>
      <w:pPr>
        <w:ind w:left="720" w:hanging="360"/>
      </w:pPr>
      <w:rPr>
        <w:rFonts w:ascii="Calibri" w:hAnsi="Calibri" w:hint="default"/>
        <w:b w:val="0"/>
        <w:i w:val="0"/>
        <w:sz w:val="22"/>
      </w:rPr>
    </w:lvl>
    <w:lvl w:ilvl="1" w:tplc="FFB0B466">
      <w:start w:val="1"/>
      <w:numFmt w:val="bullet"/>
      <w:lvlText w:val="o"/>
      <w:lvlJc w:val="left"/>
      <w:pPr>
        <w:ind w:left="1440" w:hanging="360"/>
      </w:pPr>
      <w:rPr>
        <w:rFonts w:ascii="Courier New" w:hAnsi="Courier New" w:cs="Courier New" w:hint="default"/>
      </w:rPr>
    </w:lvl>
    <w:lvl w:ilvl="2" w:tplc="47B2DE82">
      <w:start w:val="1"/>
      <w:numFmt w:val="bullet"/>
      <w:lvlText w:val=""/>
      <w:lvlJc w:val="left"/>
      <w:pPr>
        <w:ind w:left="2160" w:hanging="360"/>
      </w:pPr>
      <w:rPr>
        <w:rFonts w:ascii="Wingdings" w:hAnsi="Wingdings" w:hint="default"/>
      </w:rPr>
    </w:lvl>
    <w:lvl w:ilvl="3" w:tplc="9EDE4BAA">
      <w:start w:val="1"/>
      <w:numFmt w:val="bullet"/>
      <w:lvlText w:val=""/>
      <w:lvlJc w:val="left"/>
      <w:pPr>
        <w:ind w:left="2880" w:hanging="360"/>
      </w:pPr>
      <w:rPr>
        <w:rFonts w:ascii="Symbol" w:hAnsi="Symbol" w:hint="default"/>
      </w:rPr>
    </w:lvl>
    <w:lvl w:ilvl="4" w:tplc="503444F0">
      <w:start w:val="1"/>
      <w:numFmt w:val="bullet"/>
      <w:lvlText w:val="o"/>
      <w:lvlJc w:val="left"/>
      <w:pPr>
        <w:ind w:left="3600" w:hanging="360"/>
      </w:pPr>
      <w:rPr>
        <w:rFonts w:ascii="Courier New" w:hAnsi="Courier New" w:cs="Courier New" w:hint="default"/>
      </w:rPr>
    </w:lvl>
    <w:lvl w:ilvl="5" w:tplc="148220E2">
      <w:start w:val="1"/>
      <w:numFmt w:val="bullet"/>
      <w:lvlText w:val=""/>
      <w:lvlJc w:val="left"/>
      <w:pPr>
        <w:ind w:left="4320" w:hanging="360"/>
      </w:pPr>
      <w:rPr>
        <w:rFonts w:ascii="Wingdings" w:hAnsi="Wingdings" w:hint="default"/>
      </w:rPr>
    </w:lvl>
    <w:lvl w:ilvl="6" w:tplc="F7EA81E4">
      <w:start w:val="1"/>
      <w:numFmt w:val="bullet"/>
      <w:lvlText w:val=""/>
      <w:lvlJc w:val="left"/>
      <w:pPr>
        <w:ind w:left="5040" w:hanging="360"/>
      </w:pPr>
      <w:rPr>
        <w:rFonts w:ascii="Symbol" w:hAnsi="Symbol" w:hint="default"/>
      </w:rPr>
    </w:lvl>
    <w:lvl w:ilvl="7" w:tplc="9710C1FC">
      <w:start w:val="1"/>
      <w:numFmt w:val="bullet"/>
      <w:lvlText w:val="o"/>
      <w:lvlJc w:val="left"/>
      <w:pPr>
        <w:ind w:left="5760" w:hanging="360"/>
      </w:pPr>
      <w:rPr>
        <w:rFonts w:ascii="Courier New" w:hAnsi="Courier New" w:cs="Courier New" w:hint="default"/>
      </w:rPr>
    </w:lvl>
    <w:lvl w:ilvl="8" w:tplc="79E015FA">
      <w:start w:val="1"/>
      <w:numFmt w:val="bullet"/>
      <w:lvlText w:val=""/>
      <w:lvlJc w:val="left"/>
      <w:pPr>
        <w:ind w:left="6480" w:hanging="360"/>
      </w:pPr>
      <w:rPr>
        <w:rFonts w:ascii="Wingdings" w:hAnsi="Wingdings" w:hint="default"/>
      </w:rPr>
    </w:lvl>
  </w:abstractNum>
  <w:abstractNum w:abstractNumId="56" w15:restartNumberingAfterBreak="0">
    <w:nsid w:val="4A70657A"/>
    <w:multiLevelType w:val="hybridMultilevel"/>
    <w:tmpl w:val="822E85D4"/>
    <w:lvl w:ilvl="0" w:tplc="811C93FC">
      <w:start w:val="1"/>
      <w:numFmt w:val="bullet"/>
      <w:lvlText w:val="•"/>
      <w:lvlJc w:val="left"/>
      <w:pPr>
        <w:ind w:left="720" w:hanging="360"/>
      </w:pPr>
      <w:rPr>
        <w:rFonts w:ascii="Calibri" w:hAnsi="Calibri" w:hint="default"/>
        <w:b w:val="0"/>
        <w:i w:val="0"/>
        <w:sz w:val="22"/>
      </w:rPr>
    </w:lvl>
    <w:lvl w:ilvl="1" w:tplc="D6DA2974">
      <w:start w:val="1"/>
      <w:numFmt w:val="bullet"/>
      <w:lvlText w:val="o"/>
      <w:lvlJc w:val="left"/>
      <w:pPr>
        <w:ind w:left="1440" w:hanging="360"/>
      </w:pPr>
      <w:rPr>
        <w:rFonts w:ascii="Courier New" w:hAnsi="Courier New" w:cs="Courier New" w:hint="default"/>
      </w:rPr>
    </w:lvl>
    <w:lvl w:ilvl="2" w:tplc="CF6279AE">
      <w:start w:val="1"/>
      <w:numFmt w:val="bullet"/>
      <w:lvlText w:val=""/>
      <w:lvlJc w:val="left"/>
      <w:pPr>
        <w:ind w:left="2160" w:hanging="360"/>
      </w:pPr>
      <w:rPr>
        <w:rFonts w:ascii="Wingdings" w:hAnsi="Wingdings" w:hint="default"/>
      </w:rPr>
    </w:lvl>
    <w:lvl w:ilvl="3" w:tplc="7CF4FCD6">
      <w:start w:val="1"/>
      <w:numFmt w:val="bullet"/>
      <w:lvlText w:val=""/>
      <w:lvlJc w:val="left"/>
      <w:pPr>
        <w:ind w:left="2880" w:hanging="360"/>
      </w:pPr>
      <w:rPr>
        <w:rFonts w:ascii="Symbol" w:hAnsi="Symbol" w:hint="default"/>
      </w:rPr>
    </w:lvl>
    <w:lvl w:ilvl="4" w:tplc="647C4AFA">
      <w:start w:val="1"/>
      <w:numFmt w:val="bullet"/>
      <w:lvlText w:val="o"/>
      <w:lvlJc w:val="left"/>
      <w:pPr>
        <w:ind w:left="3600" w:hanging="360"/>
      </w:pPr>
      <w:rPr>
        <w:rFonts w:ascii="Courier New" w:hAnsi="Courier New" w:cs="Courier New" w:hint="default"/>
      </w:rPr>
    </w:lvl>
    <w:lvl w:ilvl="5" w:tplc="B91AB698">
      <w:start w:val="1"/>
      <w:numFmt w:val="bullet"/>
      <w:lvlText w:val=""/>
      <w:lvlJc w:val="left"/>
      <w:pPr>
        <w:ind w:left="4320" w:hanging="360"/>
      </w:pPr>
      <w:rPr>
        <w:rFonts w:ascii="Wingdings" w:hAnsi="Wingdings" w:hint="default"/>
      </w:rPr>
    </w:lvl>
    <w:lvl w:ilvl="6" w:tplc="5832D5E2">
      <w:start w:val="1"/>
      <w:numFmt w:val="bullet"/>
      <w:lvlText w:val=""/>
      <w:lvlJc w:val="left"/>
      <w:pPr>
        <w:ind w:left="5040" w:hanging="360"/>
      </w:pPr>
      <w:rPr>
        <w:rFonts w:ascii="Symbol" w:hAnsi="Symbol" w:hint="default"/>
      </w:rPr>
    </w:lvl>
    <w:lvl w:ilvl="7" w:tplc="EFA40E54">
      <w:start w:val="1"/>
      <w:numFmt w:val="bullet"/>
      <w:lvlText w:val="o"/>
      <w:lvlJc w:val="left"/>
      <w:pPr>
        <w:ind w:left="5760" w:hanging="360"/>
      </w:pPr>
      <w:rPr>
        <w:rFonts w:ascii="Courier New" w:hAnsi="Courier New" w:cs="Courier New" w:hint="default"/>
      </w:rPr>
    </w:lvl>
    <w:lvl w:ilvl="8" w:tplc="26609004">
      <w:start w:val="1"/>
      <w:numFmt w:val="bullet"/>
      <w:lvlText w:val=""/>
      <w:lvlJc w:val="left"/>
      <w:pPr>
        <w:ind w:left="6480" w:hanging="360"/>
      </w:pPr>
      <w:rPr>
        <w:rFonts w:ascii="Wingdings" w:hAnsi="Wingdings" w:hint="default"/>
      </w:rPr>
    </w:lvl>
  </w:abstractNum>
  <w:abstractNum w:abstractNumId="57" w15:restartNumberingAfterBreak="0">
    <w:nsid w:val="4BC92FA0"/>
    <w:multiLevelType w:val="hybridMultilevel"/>
    <w:tmpl w:val="750CACA2"/>
    <w:lvl w:ilvl="0" w:tplc="5D9234D6">
      <w:start w:val="1"/>
      <w:numFmt w:val="bullet"/>
      <w:lvlText w:val=""/>
      <w:lvlJc w:val="left"/>
      <w:pPr>
        <w:ind w:left="720" w:hanging="360"/>
      </w:pPr>
      <w:rPr>
        <w:rFonts w:ascii="Symbol" w:hAnsi="Symbol" w:hint="default"/>
      </w:rPr>
    </w:lvl>
    <w:lvl w:ilvl="1" w:tplc="77B4AEDA">
      <w:start w:val="1"/>
      <w:numFmt w:val="bullet"/>
      <w:lvlText w:val="•"/>
      <w:lvlJc w:val="left"/>
      <w:pPr>
        <w:ind w:left="1440" w:hanging="360"/>
      </w:pPr>
      <w:rPr>
        <w:rFonts w:ascii="Calibri" w:hAnsi="Calibri" w:hint="default"/>
        <w:b w:val="0"/>
        <w:i w:val="0"/>
        <w:sz w:val="22"/>
      </w:rPr>
    </w:lvl>
    <w:lvl w:ilvl="2" w:tplc="538EF51A">
      <w:start w:val="1"/>
      <w:numFmt w:val="bullet"/>
      <w:lvlText w:val=""/>
      <w:lvlJc w:val="left"/>
      <w:pPr>
        <w:ind w:left="2160" w:hanging="360"/>
      </w:pPr>
      <w:rPr>
        <w:rFonts w:ascii="Wingdings" w:hAnsi="Wingdings" w:hint="default"/>
      </w:rPr>
    </w:lvl>
    <w:lvl w:ilvl="3" w:tplc="6F2A278E">
      <w:start w:val="1"/>
      <w:numFmt w:val="bullet"/>
      <w:lvlText w:val=""/>
      <w:lvlJc w:val="left"/>
      <w:pPr>
        <w:ind w:left="2880" w:hanging="360"/>
      </w:pPr>
      <w:rPr>
        <w:rFonts w:ascii="Symbol" w:hAnsi="Symbol" w:hint="default"/>
      </w:rPr>
    </w:lvl>
    <w:lvl w:ilvl="4" w:tplc="F2D2FDBA">
      <w:start w:val="1"/>
      <w:numFmt w:val="bullet"/>
      <w:lvlText w:val="o"/>
      <w:lvlJc w:val="left"/>
      <w:pPr>
        <w:ind w:left="3600" w:hanging="360"/>
      </w:pPr>
      <w:rPr>
        <w:rFonts w:ascii="Courier New" w:hAnsi="Courier New" w:cs="Courier New" w:hint="default"/>
      </w:rPr>
    </w:lvl>
    <w:lvl w:ilvl="5" w:tplc="70DE96D6">
      <w:start w:val="1"/>
      <w:numFmt w:val="bullet"/>
      <w:lvlText w:val=""/>
      <w:lvlJc w:val="left"/>
      <w:pPr>
        <w:ind w:left="4320" w:hanging="360"/>
      </w:pPr>
      <w:rPr>
        <w:rFonts w:ascii="Wingdings" w:hAnsi="Wingdings" w:hint="default"/>
      </w:rPr>
    </w:lvl>
    <w:lvl w:ilvl="6" w:tplc="17046EF4">
      <w:start w:val="1"/>
      <w:numFmt w:val="bullet"/>
      <w:lvlText w:val=""/>
      <w:lvlJc w:val="left"/>
      <w:pPr>
        <w:ind w:left="5040" w:hanging="360"/>
      </w:pPr>
      <w:rPr>
        <w:rFonts w:ascii="Symbol" w:hAnsi="Symbol" w:hint="default"/>
      </w:rPr>
    </w:lvl>
    <w:lvl w:ilvl="7" w:tplc="FE8CC702">
      <w:start w:val="1"/>
      <w:numFmt w:val="bullet"/>
      <w:lvlText w:val="o"/>
      <w:lvlJc w:val="left"/>
      <w:pPr>
        <w:ind w:left="5760" w:hanging="360"/>
      </w:pPr>
      <w:rPr>
        <w:rFonts w:ascii="Courier New" w:hAnsi="Courier New" w:cs="Courier New" w:hint="default"/>
      </w:rPr>
    </w:lvl>
    <w:lvl w:ilvl="8" w:tplc="3796CD0A">
      <w:start w:val="1"/>
      <w:numFmt w:val="bullet"/>
      <w:lvlText w:val=""/>
      <w:lvlJc w:val="left"/>
      <w:pPr>
        <w:ind w:left="6480" w:hanging="360"/>
      </w:pPr>
      <w:rPr>
        <w:rFonts w:ascii="Wingdings" w:hAnsi="Wingdings" w:hint="default"/>
      </w:rPr>
    </w:lvl>
  </w:abstractNum>
  <w:abstractNum w:abstractNumId="58" w15:restartNumberingAfterBreak="0">
    <w:nsid w:val="4C2F712C"/>
    <w:multiLevelType w:val="hybridMultilevel"/>
    <w:tmpl w:val="F09E6F0E"/>
    <w:lvl w:ilvl="0" w:tplc="C7CC7914">
      <w:start w:val="1"/>
      <w:numFmt w:val="bullet"/>
      <w:lvlText w:val=""/>
      <w:lvlJc w:val="left"/>
      <w:pPr>
        <w:ind w:left="720" w:hanging="360"/>
      </w:pPr>
      <w:rPr>
        <w:rFonts w:ascii="Symbol" w:hAnsi="Symbol" w:hint="default"/>
      </w:rPr>
    </w:lvl>
    <w:lvl w:ilvl="1" w:tplc="94388CC2">
      <w:start w:val="1"/>
      <w:numFmt w:val="bullet"/>
      <w:lvlText w:val="–"/>
      <w:lvlJc w:val="left"/>
      <w:pPr>
        <w:ind w:left="1785" w:hanging="705"/>
      </w:pPr>
      <w:rPr>
        <w:rFonts w:ascii="Times New Roman" w:eastAsia="Calibri" w:hAnsi="Times New Roman" w:cs="Times New Roman" w:hint="default"/>
      </w:rPr>
    </w:lvl>
    <w:lvl w:ilvl="2" w:tplc="62C0DA0C">
      <w:start w:val="1"/>
      <w:numFmt w:val="bullet"/>
      <w:lvlText w:val=""/>
      <w:lvlJc w:val="left"/>
      <w:pPr>
        <w:ind w:left="2160" w:hanging="360"/>
      </w:pPr>
      <w:rPr>
        <w:rFonts w:ascii="Wingdings" w:hAnsi="Wingdings" w:hint="default"/>
      </w:rPr>
    </w:lvl>
    <w:lvl w:ilvl="3" w:tplc="8976D8F6">
      <w:start w:val="1"/>
      <w:numFmt w:val="bullet"/>
      <w:lvlText w:val=""/>
      <w:lvlJc w:val="left"/>
      <w:pPr>
        <w:ind w:left="2880" w:hanging="360"/>
      </w:pPr>
      <w:rPr>
        <w:rFonts w:ascii="Symbol" w:hAnsi="Symbol" w:hint="default"/>
      </w:rPr>
    </w:lvl>
    <w:lvl w:ilvl="4" w:tplc="D6681524">
      <w:start w:val="1"/>
      <w:numFmt w:val="bullet"/>
      <w:lvlText w:val="o"/>
      <w:lvlJc w:val="left"/>
      <w:pPr>
        <w:ind w:left="3600" w:hanging="360"/>
      </w:pPr>
      <w:rPr>
        <w:rFonts w:ascii="Courier New" w:hAnsi="Courier New" w:cs="Courier New" w:hint="default"/>
      </w:rPr>
    </w:lvl>
    <w:lvl w:ilvl="5" w:tplc="44783706">
      <w:start w:val="1"/>
      <w:numFmt w:val="bullet"/>
      <w:lvlText w:val=""/>
      <w:lvlJc w:val="left"/>
      <w:pPr>
        <w:ind w:left="4320" w:hanging="360"/>
      </w:pPr>
      <w:rPr>
        <w:rFonts w:ascii="Wingdings" w:hAnsi="Wingdings" w:hint="default"/>
      </w:rPr>
    </w:lvl>
    <w:lvl w:ilvl="6" w:tplc="3DD0C4F2">
      <w:start w:val="1"/>
      <w:numFmt w:val="bullet"/>
      <w:lvlText w:val=""/>
      <w:lvlJc w:val="left"/>
      <w:pPr>
        <w:ind w:left="5040" w:hanging="360"/>
      </w:pPr>
      <w:rPr>
        <w:rFonts w:ascii="Symbol" w:hAnsi="Symbol" w:hint="default"/>
      </w:rPr>
    </w:lvl>
    <w:lvl w:ilvl="7" w:tplc="1CB4876E">
      <w:start w:val="1"/>
      <w:numFmt w:val="bullet"/>
      <w:lvlText w:val="o"/>
      <w:lvlJc w:val="left"/>
      <w:pPr>
        <w:ind w:left="5760" w:hanging="360"/>
      </w:pPr>
      <w:rPr>
        <w:rFonts w:ascii="Courier New" w:hAnsi="Courier New" w:cs="Courier New" w:hint="default"/>
      </w:rPr>
    </w:lvl>
    <w:lvl w:ilvl="8" w:tplc="1ADE1D14">
      <w:start w:val="1"/>
      <w:numFmt w:val="bullet"/>
      <w:lvlText w:val=""/>
      <w:lvlJc w:val="left"/>
      <w:pPr>
        <w:ind w:left="6480" w:hanging="360"/>
      </w:pPr>
      <w:rPr>
        <w:rFonts w:ascii="Wingdings" w:hAnsi="Wingdings" w:hint="default"/>
      </w:rPr>
    </w:lvl>
  </w:abstractNum>
  <w:abstractNum w:abstractNumId="59" w15:restartNumberingAfterBreak="0">
    <w:nsid w:val="4F2220DB"/>
    <w:multiLevelType w:val="hybridMultilevel"/>
    <w:tmpl w:val="41E2F68E"/>
    <w:lvl w:ilvl="0" w:tplc="6B4EE99E">
      <w:start w:val="1"/>
      <w:numFmt w:val="bullet"/>
      <w:lvlText w:val="•"/>
      <w:lvlJc w:val="left"/>
      <w:pPr>
        <w:ind w:left="720" w:hanging="360"/>
      </w:pPr>
      <w:rPr>
        <w:rFonts w:ascii="Calibri" w:hAnsi="Calibri" w:hint="default"/>
        <w:b w:val="0"/>
        <w:i w:val="0"/>
        <w:sz w:val="22"/>
      </w:rPr>
    </w:lvl>
    <w:lvl w:ilvl="1" w:tplc="E4B6996A">
      <w:start w:val="1"/>
      <w:numFmt w:val="bullet"/>
      <w:lvlText w:val="o"/>
      <w:lvlJc w:val="left"/>
      <w:pPr>
        <w:ind w:left="1440" w:hanging="360"/>
      </w:pPr>
      <w:rPr>
        <w:rFonts w:ascii="Courier New" w:hAnsi="Courier New" w:cs="Courier New" w:hint="default"/>
      </w:rPr>
    </w:lvl>
    <w:lvl w:ilvl="2" w:tplc="074C5DE6">
      <w:start w:val="1"/>
      <w:numFmt w:val="bullet"/>
      <w:lvlText w:val=""/>
      <w:lvlJc w:val="left"/>
      <w:pPr>
        <w:ind w:left="2160" w:hanging="360"/>
      </w:pPr>
      <w:rPr>
        <w:rFonts w:ascii="Wingdings" w:hAnsi="Wingdings" w:hint="default"/>
      </w:rPr>
    </w:lvl>
    <w:lvl w:ilvl="3" w:tplc="955A0E3A">
      <w:start w:val="1"/>
      <w:numFmt w:val="bullet"/>
      <w:lvlText w:val=""/>
      <w:lvlJc w:val="left"/>
      <w:pPr>
        <w:ind w:left="2880" w:hanging="360"/>
      </w:pPr>
      <w:rPr>
        <w:rFonts w:ascii="Symbol" w:hAnsi="Symbol" w:hint="default"/>
      </w:rPr>
    </w:lvl>
    <w:lvl w:ilvl="4" w:tplc="05D4F828">
      <w:start w:val="1"/>
      <w:numFmt w:val="bullet"/>
      <w:lvlText w:val="o"/>
      <w:lvlJc w:val="left"/>
      <w:pPr>
        <w:ind w:left="3600" w:hanging="360"/>
      </w:pPr>
      <w:rPr>
        <w:rFonts w:ascii="Courier New" w:hAnsi="Courier New" w:cs="Courier New" w:hint="default"/>
      </w:rPr>
    </w:lvl>
    <w:lvl w:ilvl="5" w:tplc="AA2CC5A2">
      <w:start w:val="1"/>
      <w:numFmt w:val="bullet"/>
      <w:lvlText w:val=""/>
      <w:lvlJc w:val="left"/>
      <w:pPr>
        <w:ind w:left="4320" w:hanging="360"/>
      </w:pPr>
      <w:rPr>
        <w:rFonts w:ascii="Wingdings" w:hAnsi="Wingdings" w:hint="default"/>
      </w:rPr>
    </w:lvl>
    <w:lvl w:ilvl="6" w:tplc="5378AB52">
      <w:start w:val="1"/>
      <w:numFmt w:val="bullet"/>
      <w:lvlText w:val=""/>
      <w:lvlJc w:val="left"/>
      <w:pPr>
        <w:ind w:left="5040" w:hanging="360"/>
      </w:pPr>
      <w:rPr>
        <w:rFonts w:ascii="Symbol" w:hAnsi="Symbol" w:hint="default"/>
      </w:rPr>
    </w:lvl>
    <w:lvl w:ilvl="7" w:tplc="0FE06FC6">
      <w:start w:val="1"/>
      <w:numFmt w:val="bullet"/>
      <w:lvlText w:val="o"/>
      <w:lvlJc w:val="left"/>
      <w:pPr>
        <w:ind w:left="5760" w:hanging="360"/>
      </w:pPr>
      <w:rPr>
        <w:rFonts w:ascii="Courier New" w:hAnsi="Courier New" w:cs="Courier New" w:hint="default"/>
      </w:rPr>
    </w:lvl>
    <w:lvl w:ilvl="8" w:tplc="572464A0">
      <w:start w:val="1"/>
      <w:numFmt w:val="bullet"/>
      <w:lvlText w:val=""/>
      <w:lvlJc w:val="left"/>
      <w:pPr>
        <w:ind w:left="6480" w:hanging="360"/>
      </w:pPr>
      <w:rPr>
        <w:rFonts w:ascii="Wingdings" w:hAnsi="Wingdings" w:hint="default"/>
      </w:rPr>
    </w:lvl>
  </w:abstractNum>
  <w:abstractNum w:abstractNumId="60" w15:restartNumberingAfterBreak="0">
    <w:nsid w:val="508C42B0"/>
    <w:multiLevelType w:val="hybridMultilevel"/>
    <w:tmpl w:val="1E46B882"/>
    <w:lvl w:ilvl="0" w:tplc="04545F42">
      <w:start w:val="1"/>
      <w:numFmt w:val="bullet"/>
      <w:lvlText w:val=""/>
      <w:lvlJc w:val="left"/>
      <w:pPr>
        <w:ind w:left="720" w:hanging="360"/>
      </w:pPr>
      <w:rPr>
        <w:rFonts w:ascii="Symbol" w:hAnsi="Symbol" w:hint="default"/>
      </w:rPr>
    </w:lvl>
    <w:lvl w:ilvl="1" w:tplc="F1B6679A">
      <w:start w:val="1"/>
      <w:numFmt w:val="bullet"/>
      <w:lvlText w:val="o"/>
      <w:lvlJc w:val="left"/>
      <w:pPr>
        <w:ind w:left="1440" w:hanging="360"/>
      </w:pPr>
      <w:rPr>
        <w:rFonts w:ascii="Courier New" w:hAnsi="Courier New" w:cs="Courier New" w:hint="default"/>
      </w:rPr>
    </w:lvl>
    <w:lvl w:ilvl="2" w:tplc="F7F4FD24">
      <w:start w:val="1"/>
      <w:numFmt w:val="bullet"/>
      <w:lvlText w:val=""/>
      <w:lvlJc w:val="left"/>
      <w:pPr>
        <w:ind w:left="2160" w:hanging="360"/>
      </w:pPr>
      <w:rPr>
        <w:rFonts w:ascii="Wingdings" w:hAnsi="Wingdings" w:hint="default"/>
      </w:rPr>
    </w:lvl>
    <w:lvl w:ilvl="3" w:tplc="DD660C08">
      <w:start w:val="1"/>
      <w:numFmt w:val="bullet"/>
      <w:lvlText w:val=""/>
      <w:lvlJc w:val="left"/>
      <w:pPr>
        <w:ind w:left="2880" w:hanging="360"/>
      </w:pPr>
      <w:rPr>
        <w:rFonts w:ascii="Symbol" w:hAnsi="Symbol" w:hint="default"/>
      </w:rPr>
    </w:lvl>
    <w:lvl w:ilvl="4" w:tplc="FC366D50">
      <w:start w:val="1"/>
      <w:numFmt w:val="bullet"/>
      <w:lvlText w:val="o"/>
      <w:lvlJc w:val="left"/>
      <w:pPr>
        <w:ind w:left="3600" w:hanging="360"/>
      </w:pPr>
      <w:rPr>
        <w:rFonts w:ascii="Courier New" w:hAnsi="Courier New" w:cs="Courier New" w:hint="default"/>
      </w:rPr>
    </w:lvl>
    <w:lvl w:ilvl="5" w:tplc="11F426C0">
      <w:start w:val="1"/>
      <w:numFmt w:val="bullet"/>
      <w:lvlText w:val=""/>
      <w:lvlJc w:val="left"/>
      <w:pPr>
        <w:ind w:left="4320" w:hanging="360"/>
      </w:pPr>
      <w:rPr>
        <w:rFonts w:ascii="Wingdings" w:hAnsi="Wingdings" w:hint="default"/>
      </w:rPr>
    </w:lvl>
    <w:lvl w:ilvl="6" w:tplc="22043B48">
      <w:start w:val="1"/>
      <w:numFmt w:val="bullet"/>
      <w:lvlText w:val=""/>
      <w:lvlJc w:val="left"/>
      <w:pPr>
        <w:ind w:left="5040" w:hanging="360"/>
      </w:pPr>
      <w:rPr>
        <w:rFonts w:ascii="Symbol" w:hAnsi="Symbol" w:hint="default"/>
      </w:rPr>
    </w:lvl>
    <w:lvl w:ilvl="7" w:tplc="C42C3F04">
      <w:start w:val="1"/>
      <w:numFmt w:val="bullet"/>
      <w:lvlText w:val="o"/>
      <w:lvlJc w:val="left"/>
      <w:pPr>
        <w:ind w:left="5760" w:hanging="360"/>
      </w:pPr>
      <w:rPr>
        <w:rFonts w:ascii="Courier New" w:hAnsi="Courier New" w:cs="Courier New" w:hint="default"/>
      </w:rPr>
    </w:lvl>
    <w:lvl w:ilvl="8" w:tplc="F7865DEA">
      <w:start w:val="1"/>
      <w:numFmt w:val="bullet"/>
      <w:lvlText w:val=""/>
      <w:lvlJc w:val="left"/>
      <w:pPr>
        <w:ind w:left="6480" w:hanging="360"/>
      </w:pPr>
      <w:rPr>
        <w:rFonts w:ascii="Wingdings" w:hAnsi="Wingdings" w:hint="default"/>
      </w:rPr>
    </w:lvl>
  </w:abstractNum>
  <w:abstractNum w:abstractNumId="61" w15:restartNumberingAfterBreak="0">
    <w:nsid w:val="51D17BAB"/>
    <w:multiLevelType w:val="hybridMultilevel"/>
    <w:tmpl w:val="5A44405C"/>
    <w:lvl w:ilvl="0" w:tplc="62EEE248">
      <w:start w:val="1"/>
      <w:numFmt w:val="bullet"/>
      <w:lvlText w:val="•"/>
      <w:lvlJc w:val="left"/>
      <w:pPr>
        <w:ind w:left="720" w:hanging="360"/>
      </w:pPr>
      <w:rPr>
        <w:rFonts w:ascii="Calibri" w:hAnsi="Calibri" w:hint="default"/>
        <w:b w:val="0"/>
        <w:i w:val="0"/>
        <w:sz w:val="22"/>
      </w:rPr>
    </w:lvl>
    <w:lvl w:ilvl="1" w:tplc="62AA7D46">
      <w:start w:val="1"/>
      <w:numFmt w:val="bullet"/>
      <w:lvlText w:val="o"/>
      <w:lvlJc w:val="left"/>
      <w:pPr>
        <w:ind w:left="1440" w:hanging="360"/>
      </w:pPr>
      <w:rPr>
        <w:rFonts w:ascii="Courier New" w:hAnsi="Courier New" w:cs="Courier New" w:hint="default"/>
      </w:rPr>
    </w:lvl>
    <w:lvl w:ilvl="2" w:tplc="4748E818">
      <w:start w:val="1"/>
      <w:numFmt w:val="bullet"/>
      <w:lvlText w:val=""/>
      <w:lvlJc w:val="left"/>
      <w:pPr>
        <w:ind w:left="2160" w:hanging="360"/>
      </w:pPr>
      <w:rPr>
        <w:rFonts w:ascii="Wingdings" w:hAnsi="Wingdings" w:hint="default"/>
      </w:rPr>
    </w:lvl>
    <w:lvl w:ilvl="3" w:tplc="8580ED2A">
      <w:start w:val="1"/>
      <w:numFmt w:val="bullet"/>
      <w:lvlText w:val=""/>
      <w:lvlJc w:val="left"/>
      <w:pPr>
        <w:ind w:left="2880" w:hanging="360"/>
      </w:pPr>
      <w:rPr>
        <w:rFonts w:ascii="Symbol" w:hAnsi="Symbol" w:hint="default"/>
      </w:rPr>
    </w:lvl>
    <w:lvl w:ilvl="4" w:tplc="EBD866BA">
      <w:start w:val="1"/>
      <w:numFmt w:val="bullet"/>
      <w:lvlText w:val="o"/>
      <w:lvlJc w:val="left"/>
      <w:pPr>
        <w:ind w:left="3600" w:hanging="360"/>
      </w:pPr>
      <w:rPr>
        <w:rFonts w:ascii="Courier New" w:hAnsi="Courier New" w:cs="Courier New" w:hint="default"/>
      </w:rPr>
    </w:lvl>
    <w:lvl w:ilvl="5" w:tplc="4B50C2BE">
      <w:start w:val="1"/>
      <w:numFmt w:val="bullet"/>
      <w:lvlText w:val=""/>
      <w:lvlJc w:val="left"/>
      <w:pPr>
        <w:ind w:left="4320" w:hanging="360"/>
      </w:pPr>
      <w:rPr>
        <w:rFonts w:ascii="Wingdings" w:hAnsi="Wingdings" w:hint="default"/>
      </w:rPr>
    </w:lvl>
    <w:lvl w:ilvl="6" w:tplc="7D803AD8">
      <w:start w:val="1"/>
      <w:numFmt w:val="bullet"/>
      <w:lvlText w:val=""/>
      <w:lvlJc w:val="left"/>
      <w:pPr>
        <w:ind w:left="5040" w:hanging="360"/>
      </w:pPr>
      <w:rPr>
        <w:rFonts w:ascii="Symbol" w:hAnsi="Symbol" w:hint="default"/>
      </w:rPr>
    </w:lvl>
    <w:lvl w:ilvl="7" w:tplc="FF3E8F12">
      <w:start w:val="1"/>
      <w:numFmt w:val="bullet"/>
      <w:lvlText w:val="o"/>
      <w:lvlJc w:val="left"/>
      <w:pPr>
        <w:ind w:left="5760" w:hanging="360"/>
      </w:pPr>
      <w:rPr>
        <w:rFonts w:ascii="Courier New" w:hAnsi="Courier New" w:cs="Courier New" w:hint="default"/>
      </w:rPr>
    </w:lvl>
    <w:lvl w:ilvl="8" w:tplc="0D6C6B6E">
      <w:start w:val="1"/>
      <w:numFmt w:val="bullet"/>
      <w:lvlText w:val=""/>
      <w:lvlJc w:val="left"/>
      <w:pPr>
        <w:ind w:left="6480" w:hanging="360"/>
      </w:pPr>
      <w:rPr>
        <w:rFonts w:ascii="Wingdings" w:hAnsi="Wingdings" w:hint="default"/>
      </w:rPr>
    </w:lvl>
  </w:abstractNum>
  <w:abstractNum w:abstractNumId="62" w15:restartNumberingAfterBreak="0">
    <w:nsid w:val="532C741F"/>
    <w:multiLevelType w:val="hybridMultilevel"/>
    <w:tmpl w:val="56FC8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71429E"/>
    <w:multiLevelType w:val="hybridMultilevel"/>
    <w:tmpl w:val="EC507CB8"/>
    <w:lvl w:ilvl="0" w:tplc="4288B51C">
      <w:start w:val="1"/>
      <w:numFmt w:val="bullet"/>
      <w:lvlText w:val="•"/>
      <w:lvlJc w:val="left"/>
      <w:pPr>
        <w:ind w:left="720" w:hanging="360"/>
      </w:pPr>
      <w:rPr>
        <w:rFonts w:ascii="Calibri" w:hAnsi="Calibri" w:hint="default"/>
        <w:b w:val="0"/>
        <w:i w:val="0"/>
        <w:sz w:val="22"/>
      </w:rPr>
    </w:lvl>
    <w:lvl w:ilvl="1" w:tplc="64C685B6">
      <w:start w:val="1"/>
      <w:numFmt w:val="bullet"/>
      <w:lvlText w:val="o"/>
      <w:lvlJc w:val="left"/>
      <w:pPr>
        <w:ind w:left="1440" w:hanging="360"/>
      </w:pPr>
      <w:rPr>
        <w:rFonts w:ascii="Courier New" w:hAnsi="Courier New" w:cs="Courier New" w:hint="default"/>
      </w:rPr>
    </w:lvl>
    <w:lvl w:ilvl="2" w:tplc="1180B9EA">
      <w:start w:val="1"/>
      <w:numFmt w:val="bullet"/>
      <w:lvlText w:val=""/>
      <w:lvlJc w:val="left"/>
      <w:pPr>
        <w:ind w:left="2160" w:hanging="360"/>
      </w:pPr>
      <w:rPr>
        <w:rFonts w:ascii="Wingdings" w:hAnsi="Wingdings" w:hint="default"/>
      </w:rPr>
    </w:lvl>
    <w:lvl w:ilvl="3" w:tplc="EFB475B0">
      <w:start w:val="1"/>
      <w:numFmt w:val="bullet"/>
      <w:lvlText w:val=""/>
      <w:lvlJc w:val="left"/>
      <w:pPr>
        <w:ind w:left="2880" w:hanging="360"/>
      </w:pPr>
      <w:rPr>
        <w:rFonts w:ascii="Symbol" w:hAnsi="Symbol" w:hint="default"/>
      </w:rPr>
    </w:lvl>
    <w:lvl w:ilvl="4" w:tplc="5F84ABBE">
      <w:start w:val="1"/>
      <w:numFmt w:val="bullet"/>
      <w:lvlText w:val="o"/>
      <w:lvlJc w:val="left"/>
      <w:pPr>
        <w:ind w:left="3600" w:hanging="360"/>
      </w:pPr>
      <w:rPr>
        <w:rFonts w:ascii="Courier New" w:hAnsi="Courier New" w:cs="Courier New" w:hint="default"/>
      </w:rPr>
    </w:lvl>
    <w:lvl w:ilvl="5" w:tplc="220CAA0E">
      <w:start w:val="1"/>
      <w:numFmt w:val="bullet"/>
      <w:lvlText w:val=""/>
      <w:lvlJc w:val="left"/>
      <w:pPr>
        <w:ind w:left="4320" w:hanging="360"/>
      </w:pPr>
      <w:rPr>
        <w:rFonts w:ascii="Wingdings" w:hAnsi="Wingdings" w:hint="default"/>
      </w:rPr>
    </w:lvl>
    <w:lvl w:ilvl="6" w:tplc="826287B8">
      <w:start w:val="1"/>
      <w:numFmt w:val="bullet"/>
      <w:lvlText w:val=""/>
      <w:lvlJc w:val="left"/>
      <w:pPr>
        <w:ind w:left="5040" w:hanging="360"/>
      </w:pPr>
      <w:rPr>
        <w:rFonts w:ascii="Symbol" w:hAnsi="Symbol" w:hint="default"/>
      </w:rPr>
    </w:lvl>
    <w:lvl w:ilvl="7" w:tplc="39BA1AF6">
      <w:start w:val="1"/>
      <w:numFmt w:val="bullet"/>
      <w:lvlText w:val="o"/>
      <w:lvlJc w:val="left"/>
      <w:pPr>
        <w:ind w:left="5760" w:hanging="360"/>
      </w:pPr>
      <w:rPr>
        <w:rFonts w:ascii="Courier New" w:hAnsi="Courier New" w:cs="Courier New" w:hint="default"/>
      </w:rPr>
    </w:lvl>
    <w:lvl w:ilvl="8" w:tplc="9BB0530E">
      <w:start w:val="1"/>
      <w:numFmt w:val="bullet"/>
      <w:lvlText w:val=""/>
      <w:lvlJc w:val="left"/>
      <w:pPr>
        <w:ind w:left="6480" w:hanging="360"/>
      </w:pPr>
      <w:rPr>
        <w:rFonts w:ascii="Wingdings" w:hAnsi="Wingdings" w:hint="default"/>
      </w:rPr>
    </w:lvl>
  </w:abstractNum>
  <w:abstractNum w:abstractNumId="64" w15:restartNumberingAfterBreak="0">
    <w:nsid w:val="55E86482"/>
    <w:multiLevelType w:val="hybridMultilevel"/>
    <w:tmpl w:val="3A9C0278"/>
    <w:lvl w:ilvl="0" w:tplc="1EF62DD0">
      <w:start w:val="1"/>
      <w:numFmt w:val="bullet"/>
      <w:lvlText w:val=""/>
      <w:lvlJc w:val="left"/>
      <w:pPr>
        <w:ind w:left="720" w:hanging="360"/>
      </w:pPr>
      <w:rPr>
        <w:rFonts w:ascii="Symbol" w:hAnsi="Symbol" w:hint="default"/>
      </w:rPr>
    </w:lvl>
    <w:lvl w:ilvl="1" w:tplc="03DA428A">
      <w:start w:val="1"/>
      <w:numFmt w:val="bullet"/>
      <w:lvlText w:val="o"/>
      <w:lvlJc w:val="left"/>
      <w:pPr>
        <w:ind w:left="1440" w:hanging="360"/>
      </w:pPr>
      <w:rPr>
        <w:rFonts w:ascii="Courier New" w:hAnsi="Courier New" w:cs="Courier New" w:hint="default"/>
      </w:rPr>
    </w:lvl>
    <w:lvl w:ilvl="2" w:tplc="FB769AEE">
      <w:start w:val="1"/>
      <w:numFmt w:val="bullet"/>
      <w:lvlText w:val=""/>
      <w:lvlJc w:val="left"/>
      <w:pPr>
        <w:ind w:left="2160" w:hanging="360"/>
      </w:pPr>
      <w:rPr>
        <w:rFonts w:ascii="Wingdings" w:hAnsi="Wingdings" w:hint="default"/>
      </w:rPr>
    </w:lvl>
    <w:lvl w:ilvl="3" w:tplc="47FC21E0">
      <w:start w:val="1"/>
      <w:numFmt w:val="bullet"/>
      <w:lvlText w:val=""/>
      <w:lvlJc w:val="left"/>
      <w:pPr>
        <w:ind w:left="2880" w:hanging="360"/>
      </w:pPr>
      <w:rPr>
        <w:rFonts w:ascii="Symbol" w:hAnsi="Symbol" w:hint="default"/>
      </w:rPr>
    </w:lvl>
    <w:lvl w:ilvl="4" w:tplc="DBF49B5E">
      <w:start w:val="1"/>
      <w:numFmt w:val="bullet"/>
      <w:lvlText w:val="o"/>
      <w:lvlJc w:val="left"/>
      <w:pPr>
        <w:ind w:left="3600" w:hanging="360"/>
      </w:pPr>
      <w:rPr>
        <w:rFonts w:ascii="Courier New" w:hAnsi="Courier New" w:cs="Courier New" w:hint="default"/>
      </w:rPr>
    </w:lvl>
    <w:lvl w:ilvl="5" w:tplc="CF767754">
      <w:start w:val="1"/>
      <w:numFmt w:val="bullet"/>
      <w:lvlText w:val=""/>
      <w:lvlJc w:val="left"/>
      <w:pPr>
        <w:ind w:left="4320" w:hanging="360"/>
      </w:pPr>
      <w:rPr>
        <w:rFonts w:ascii="Wingdings" w:hAnsi="Wingdings" w:hint="default"/>
      </w:rPr>
    </w:lvl>
    <w:lvl w:ilvl="6" w:tplc="38CA0408">
      <w:start w:val="1"/>
      <w:numFmt w:val="bullet"/>
      <w:lvlText w:val=""/>
      <w:lvlJc w:val="left"/>
      <w:pPr>
        <w:ind w:left="5040" w:hanging="360"/>
      </w:pPr>
      <w:rPr>
        <w:rFonts w:ascii="Symbol" w:hAnsi="Symbol" w:hint="default"/>
      </w:rPr>
    </w:lvl>
    <w:lvl w:ilvl="7" w:tplc="1EB2D634">
      <w:start w:val="1"/>
      <w:numFmt w:val="bullet"/>
      <w:lvlText w:val="o"/>
      <w:lvlJc w:val="left"/>
      <w:pPr>
        <w:ind w:left="5760" w:hanging="360"/>
      </w:pPr>
      <w:rPr>
        <w:rFonts w:ascii="Courier New" w:hAnsi="Courier New" w:cs="Courier New" w:hint="default"/>
      </w:rPr>
    </w:lvl>
    <w:lvl w:ilvl="8" w:tplc="3CF4A864">
      <w:start w:val="1"/>
      <w:numFmt w:val="bullet"/>
      <w:lvlText w:val=""/>
      <w:lvlJc w:val="left"/>
      <w:pPr>
        <w:ind w:left="6480" w:hanging="360"/>
      </w:pPr>
      <w:rPr>
        <w:rFonts w:ascii="Wingdings" w:hAnsi="Wingdings" w:hint="default"/>
      </w:rPr>
    </w:lvl>
  </w:abstractNum>
  <w:abstractNum w:abstractNumId="65" w15:restartNumberingAfterBreak="0">
    <w:nsid w:val="5CFF59B2"/>
    <w:multiLevelType w:val="hybridMultilevel"/>
    <w:tmpl w:val="9502D6F0"/>
    <w:lvl w:ilvl="0" w:tplc="5C22FCA6">
      <w:start w:val="1"/>
      <w:numFmt w:val="bullet"/>
      <w:lvlText w:val="•"/>
      <w:lvlJc w:val="left"/>
      <w:pPr>
        <w:ind w:left="720" w:hanging="360"/>
      </w:pPr>
      <w:rPr>
        <w:rFonts w:ascii="Calibri" w:hAnsi="Calibri" w:hint="default"/>
        <w:b w:val="0"/>
        <w:i w:val="0"/>
        <w:sz w:val="22"/>
      </w:rPr>
    </w:lvl>
    <w:lvl w:ilvl="1" w:tplc="268AC7E0">
      <w:start w:val="1"/>
      <w:numFmt w:val="bullet"/>
      <w:lvlText w:val="o"/>
      <w:lvlJc w:val="left"/>
      <w:pPr>
        <w:ind w:left="1440" w:hanging="360"/>
      </w:pPr>
      <w:rPr>
        <w:rFonts w:ascii="Courier New" w:hAnsi="Courier New" w:cs="Courier New" w:hint="default"/>
      </w:rPr>
    </w:lvl>
    <w:lvl w:ilvl="2" w:tplc="5EA40DCA">
      <w:start w:val="1"/>
      <w:numFmt w:val="bullet"/>
      <w:lvlText w:val=""/>
      <w:lvlJc w:val="left"/>
      <w:pPr>
        <w:ind w:left="2160" w:hanging="360"/>
      </w:pPr>
      <w:rPr>
        <w:rFonts w:ascii="Wingdings" w:hAnsi="Wingdings" w:hint="default"/>
      </w:rPr>
    </w:lvl>
    <w:lvl w:ilvl="3" w:tplc="4DF6707C">
      <w:start w:val="1"/>
      <w:numFmt w:val="bullet"/>
      <w:lvlText w:val=""/>
      <w:lvlJc w:val="left"/>
      <w:pPr>
        <w:ind w:left="2880" w:hanging="360"/>
      </w:pPr>
      <w:rPr>
        <w:rFonts w:ascii="Symbol" w:hAnsi="Symbol" w:hint="default"/>
      </w:rPr>
    </w:lvl>
    <w:lvl w:ilvl="4" w:tplc="B600A83E">
      <w:start w:val="1"/>
      <w:numFmt w:val="bullet"/>
      <w:lvlText w:val="o"/>
      <w:lvlJc w:val="left"/>
      <w:pPr>
        <w:ind w:left="3600" w:hanging="360"/>
      </w:pPr>
      <w:rPr>
        <w:rFonts w:ascii="Courier New" w:hAnsi="Courier New" w:cs="Courier New" w:hint="default"/>
      </w:rPr>
    </w:lvl>
    <w:lvl w:ilvl="5" w:tplc="F5BAAB6A">
      <w:start w:val="1"/>
      <w:numFmt w:val="bullet"/>
      <w:lvlText w:val=""/>
      <w:lvlJc w:val="left"/>
      <w:pPr>
        <w:ind w:left="4320" w:hanging="360"/>
      </w:pPr>
      <w:rPr>
        <w:rFonts w:ascii="Wingdings" w:hAnsi="Wingdings" w:hint="default"/>
      </w:rPr>
    </w:lvl>
    <w:lvl w:ilvl="6" w:tplc="8D50B5D6">
      <w:start w:val="1"/>
      <w:numFmt w:val="bullet"/>
      <w:lvlText w:val=""/>
      <w:lvlJc w:val="left"/>
      <w:pPr>
        <w:ind w:left="5040" w:hanging="360"/>
      </w:pPr>
      <w:rPr>
        <w:rFonts w:ascii="Symbol" w:hAnsi="Symbol" w:hint="default"/>
      </w:rPr>
    </w:lvl>
    <w:lvl w:ilvl="7" w:tplc="453697CA">
      <w:start w:val="1"/>
      <w:numFmt w:val="bullet"/>
      <w:lvlText w:val="o"/>
      <w:lvlJc w:val="left"/>
      <w:pPr>
        <w:ind w:left="5760" w:hanging="360"/>
      </w:pPr>
      <w:rPr>
        <w:rFonts w:ascii="Courier New" w:hAnsi="Courier New" w:cs="Courier New" w:hint="default"/>
      </w:rPr>
    </w:lvl>
    <w:lvl w:ilvl="8" w:tplc="BB38EF28">
      <w:start w:val="1"/>
      <w:numFmt w:val="bullet"/>
      <w:lvlText w:val=""/>
      <w:lvlJc w:val="left"/>
      <w:pPr>
        <w:ind w:left="6480" w:hanging="360"/>
      </w:pPr>
      <w:rPr>
        <w:rFonts w:ascii="Wingdings" w:hAnsi="Wingdings" w:hint="default"/>
      </w:rPr>
    </w:lvl>
  </w:abstractNum>
  <w:abstractNum w:abstractNumId="66" w15:restartNumberingAfterBreak="0">
    <w:nsid w:val="5DE45053"/>
    <w:multiLevelType w:val="hybridMultilevel"/>
    <w:tmpl w:val="701A0DDC"/>
    <w:lvl w:ilvl="0" w:tplc="188E78D6">
      <w:start w:val="1"/>
      <w:numFmt w:val="bullet"/>
      <w:lvlText w:val="•"/>
      <w:lvlJc w:val="left"/>
      <w:pPr>
        <w:ind w:left="720" w:hanging="360"/>
      </w:pPr>
      <w:rPr>
        <w:rFonts w:ascii="Calibri" w:hAnsi="Calibri" w:hint="default"/>
        <w:b w:val="0"/>
        <w:i w:val="0"/>
        <w:sz w:val="22"/>
      </w:rPr>
    </w:lvl>
    <w:lvl w:ilvl="1" w:tplc="2FC855B0">
      <w:start w:val="1"/>
      <w:numFmt w:val="bullet"/>
      <w:lvlText w:val="•"/>
      <w:lvlJc w:val="left"/>
      <w:pPr>
        <w:ind w:left="1440" w:hanging="360"/>
      </w:pPr>
      <w:rPr>
        <w:rFonts w:ascii="Calibri" w:hAnsi="Calibri" w:hint="default"/>
        <w:b w:val="0"/>
        <w:i w:val="0"/>
        <w:sz w:val="22"/>
      </w:rPr>
    </w:lvl>
    <w:lvl w:ilvl="2" w:tplc="D942633E">
      <w:start w:val="1"/>
      <w:numFmt w:val="bullet"/>
      <w:lvlText w:val=""/>
      <w:lvlJc w:val="left"/>
      <w:pPr>
        <w:ind w:left="2160" w:hanging="360"/>
      </w:pPr>
      <w:rPr>
        <w:rFonts w:ascii="Wingdings" w:hAnsi="Wingdings" w:hint="default"/>
      </w:rPr>
    </w:lvl>
    <w:lvl w:ilvl="3" w:tplc="C7242948">
      <w:start w:val="1"/>
      <w:numFmt w:val="bullet"/>
      <w:lvlText w:val=""/>
      <w:lvlJc w:val="left"/>
      <w:pPr>
        <w:ind w:left="2880" w:hanging="360"/>
      </w:pPr>
      <w:rPr>
        <w:rFonts w:ascii="Symbol" w:hAnsi="Symbol" w:hint="default"/>
      </w:rPr>
    </w:lvl>
    <w:lvl w:ilvl="4" w:tplc="2C10EA16">
      <w:start w:val="1"/>
      <w:numFmt w:val="bullet"/>
      <w:lvlText w:val="o"/>
      <w:lvlJc w:val="left"/>
      <w:pPr>
        <w:ind w:left="3600" w:hanging="360"/>
      </w:pPr>
      <w:rPr>
        <w:rFonts w:ascii="Courier New" w:hAnsi="Courier New" w:cs="Courier New" w:hint="default"/>
      </w:rPr>
    </w:lvl>
    <w:lvl w:ilvl="5" w:tplc="0F9E9634">
      <w:start w:val="1"/>
      <w:numFmt w:val="bullet"/>
      <w:lvlText w:val=""/>
      <w:lvlJc w:val="left"/>
      <w:pPr>
        <w:ind w:left="4320" w:hanging="360"/>
      </w:pPr>
      <w:rPr>
        <w:rFonts w:ascii="Wingdings" w:hAnsi="Wingdings" w:hint="default"/>
      </w:rPr>
    </w:lvl>
    <w:lvl w:ilvl="6" w:tplc="D5A808FC">
      <w:start w:val="1"/>
      <w:numFmt w:val="bullet"/>
      <w:lvlText w:val=""/>
      <w:lvlJc w:val="left"/>
      <w:pPr>
        <w:ind w:left="5040" w:hanging="360"/>
      </w:pPr>
      <w:rPr>
        <w:rFonts w:ascii="Symbol" w:hAnsi="Symbol" w:hint="default"/>
      </w:rPr>
    </w:lvl>
    <w:lvl w:ilvl="7" w:tplc="F2BE21D2">
      <w:start w:val="1"/>
      <w:numFmt w:val="bullet"/>
      <w:lvlText w:val="o"/>
      <w:lvlJc w:val="left"/>
      <w:pPr>
        <w:ind w:left="5760" w:hanging="360"/>
      </w:pPr>
      <w:rPr>
        <w:rFonts w:ascii="Courier New" w:hAnsi="Courier New" w:cs="Courier New" w:hint="default"/>
      </w:rPr>
    </w:lvl>
    <w:lvl w:ilvl="8" w:tplc="C32C0220">
      <w:start w:val="1"/>
      <w:numFmt w:val="bullet"/>
      <w:lvlText w:val=""/>
      <w:lvlJc w:val="left"/>
      <w:pPr>
        <w:ind w:left="6480" w:hanging="360"/>
      </w:pPr>
      <w:rPr>
        <w:rFonts w:ascii="Wingdings" w:hAnsi="Wingdings" w:hint="default"/>
      </w:rPr>
    </w:lvl>
  </w:abstractNum>
  <w:abstractNum w:abstractNumId="67" w15:restartNumberingAfterBreak="0">
    <w:nsid w:val="604173E1"/>
    <w:multiLevelType w:val="hybridMultilevel"/>
    <w:tmpl w:val="AEEC4496"/>
    <w:lvl w:ilvl="0" w:tplc="B808BF62">
      <w:start w:val="1"/>
      <w:numFmt w:val="bullet"/>
      <w:lvlText w:val="•"/>
      <w:lvlJc w:val="left"/>
      <w:pPr>
        <w:ind w:left="720" w:hanging="360"/>
      </w:pPr>
      <w:rPr>
        <w:rFonts w:ascii="Calibri" w:hAnsi="Calibri" w:hint="default"/>
        <w:b w:val="0"/>
        <w:i w:val="0"/>
        <w:sz w:val="22"/>
      </w:rPr>
    </w:lvl>
    <w:lvl w:ilvl="1" w:tplc="BCEC1D12">
      <w:start w:val="1"/>
      <w:numFmt w:val="bullet"/>
      <w:lvlText w:val="o"/>
      <w:lvlJc w:val="left"/>
      <w:pPr>
        <w:ind w:left="1440" w:hanging="360"/>
      </w:pPr>
      <w:rPr>
        <w:rFonts w:ascii="Courier New" w:hAnsi="Courier New" w:cs="Courier New" w:hint="default"/>
      </w:rPr>
    </w:lvl>
    <w:lvl w:ilvl="2" w:tplc="94782D8C">
      <w:start w:val="1"/>
      <w:numFmt w:val="bullet"/>
      <w:lvlText w:val=""/>
      <w:lvlJc w:val="left"/>
      <w:pPr>
        <w:ind w:left="2160" w:hanging="360"/>
      </w:pPr>
      <w:rPr>
        <w:rFonts w:ascii="Wingdings" w:hAnsi="Wingdings" w:hint="default"/>
      </w:rPr>
    </w:lvl>
    <w:lvl w:ilvl="3" w:tplc="C30E8152">
      <w:start w:val="1"/>
      <w:numFmt w:val="bullet"/>
      <w:lvlText w:val=""/>
      <w:lvlJc w:val="left"/>
      <w:pPr>
        <w:ind w:left="2880" w:hanging="360"/>
      </w:pPr>
      <w:rPr>
        <w:rFonts w:ascii="Symbol" w:hAnsi="Symbol" w:hint="default"/>
      </w:rPr>
    </w:lvl>
    <w:lvl w:ilvl="4" w:tplc="8BFEF0F0">
      <w:start w:val="1"/>
      <w:numFmt w:val="bullet"/>
      <w:lvlText w:val="o"/>
      <w:lvlJc w:val="left"/>
      <w:pPr>
        <w:ind w:left="3600" w:hanging="360"/>
      </w:pPr>
      <w:rPr>
        <w:rFonts w:ascii="Courier New" w:hAnsi="Courier New" w:cs="Courier New" w:hint="default"/>
      </w:rPr>
    </w:lvl>
    <w:lvl w:ilvl="5" w:tplc="A8A09984">
      <w:start w:val="1"/>
      <w:numFmt w:val="bullet"/>
      <w:lvlText w:val=""/>
      <w:lvlJc w:val="left"/>
      <w:pPr>
        <w:ind w:left="4320" w:hanging="360"/>
      </w:pPr>
      <w:rPr>
        <w:rFonts w:ascii="Wingdings" w:hAnsi="Wingdings" w:hint="default"/>
      </w:rPr>
    </w:lvl>
    <w:lvl w:ilvl="6" w:tplc="CEA8A88C">
      <w:start w:val="1"/>
      <w:numFmt w:val="bullet"/>
      <w:lvlText w:val=""/>
      <w:lvlJc w:val="left"/>
      <w:pPr>
        <w:ind w:left="5040" w:hanging="360"/>
      </w:pPr>
      <w:rPr>
        <w:rFonts w:ascii="Symbol" w:hAnsi="Symbol" w:hint="default"/>
      </w:rPr>
    </w:lvl>
    <w:lvl w:ilvl="7" w:tplc="8E5CE3F6">
      <w:start w:val="1"/>
      <w:numFmt w:val="bullet"/>
      <w:lvlText w:val="o"/>
      <w:lvlJc w:val="left"/>
      <w:pPr>
        <w:ind w:left="5760" w:hanging="360"/>
      </w:pPr>
      <w:rPr>
        <w:rFonts w:ascii="Courier New" w:hAnsi="Courier New" w:cs="Courier New" w:hint="default"/>
      </w:rPr>
    </w:lvl>
    <w:lvl w:ilvl="8" w:tplc="F3721968">
      <w:start w:val="1"/>
      <w:numFmt w:val="bullet"/>
      <w:lvlText w:val=""/>
      <w:lvlJc w:val="left"/>
      <w:pPr>
        <w:ind w:left="6480" w:hanging="360"/>
      </w:pPr>
      <w:rPr>
        <w:rFonts w:ascii="Wingdings" w:hAnsi="Wingdings" w:hint="default"/>
      </w:rPr>
    </w:lvl>
  </w:abstractNum>
  <w:abstractNum w:abstractNumId="68" w15:restartNumberingAfterBreak="0">
    <w:nsid w:val="60D509C6"/>
    <w:multiLevelType w:val="hybridMultilevel"/>
    <w:tmpl w:val="3E661D84"/>
    <w:lvl w:ilvl="0" w:tplc="BA4A267A">
      <w:start w:val="1"/>
      <w:numFmt w:val="bullet"/>
      <w:lvlText w:val="•"/>
      <w:lvlJc w:val="left"/>
      <w:pPr>
        <w:ind w:left="720" w:hanging="360"/>
      </w:pPr>
      <w:rPr>
        <w:rFonts w:ascii="Calibri" w:hAnsi="Calibri" w:hint="default"/>
        <w:b w:val="0"/>
        <w:i w:val="0"/>
        <w:sz w:val="22"/>
      </w:rPr>
    </w:lvl>
    <w:lvl w:ilvl="1" w:tplc="5A06FC34">
      <w:start w:val="1"/>
      <w:numFmt w:val="bullet"/>
      <w:lvlText w:val="o"/>
      <w:lvlJc w:val="left"/>
      <w:pPr>
        <w:ind w:left="1440" w:hanging="360"/>
      </w:pPr>
      <w:rPr>
        <w:rFonts w:ascii="Courier New" w:hAnsi="Courier New" w:cs="Courier New" w:hint="default"/>
      </w:rPr>
    </w:lvl>
    <w:lvl w:ilvl="2" w:tplc="096CAD44">
      <w:start w:val="1"/>
      <w:numFmt w:val="bullet"/>
      <w:lvlText w:val=""/>
      <w:lvlJc w:val="left"/>
      <w:pPr>
        <w:ind w:left="2160" w:hanging="360"/>
      </w:pPr>
      <w:rPr>
        <w:rFonts w:ascii="Wingdings" w:hAnsi="Wingdings" w:hint="default"/>
      </w:rPr>
    </w:lvl>
    <w:lvl w:ilvl="3" w:tplc="A8E27C28">
      <w:start w:val="1"/>
      <w:numFmt w:val="bullet"/>
      <w:lvlText w:val=""/>
      <w:lvlJc w:val="left"/>
      <w:pPr>
        <w:ind w:left="2880" w:hanging="360"/>
      </w:pPr>
      <w:rPr>
        <w:rFonts w:ascii="Symbol" w:hAnsi="Symbol" w:hint="default"/>
      </w:rPr>
    </w:lvl>
    <w:lvl w:ilvl="4" w:tplc="75BE692C">
      <w:start w:val="1"/>
      <w:numFmt w:val="bullet"/>
      <w:lvlText w:val="o"/>
      <w:lvlJc w:val="left"/>
      <w:pPr>
        <w:ind w:left="3600" w:hanging="360"/>
      </w:pPr>
      <w:rPr>
        <w:rFonts w:ascii="Courier New" w:hAnsi="Courier New" w:cs="Courier New" w:hint="default"/>
      </w:rPr>
    </w:lvl>
    <w:lvl w:ilvl="5" w:tplc="240EB33A">
      <w:start w:val="1"/>
      <w:numFmt w:val="bullet"/>
      <w:lvlText w:val=""/>
      <w:lvlJc w:val="left"/>
      <w:pPr>
        <w:ind w:left="4320" w:hanging="360"/>
      </w:pPr>
      <w:rPr>
        <w:rFonts w:ascii="Wingdings" w:hAnsi="Wingdings" w:hint="default"/>
      </w:rPr>
    </w:lvl>
    <w:lvl w:ilvl="6" w:tplc="6CA67498">
      <w:start w:val="1"/>
      <w:numFmt w:val="bullet"/>
      <w:lvlText w:val=""/>
      <w:lvlJc w:val="left"/>
      <w:pPr>
        <w:ind w:left="5040" w:hanging="360"/>
      </w:pPr>
      <w:rPr>
        <w:rFonts w:ascii="Symbol" w:hAnsi="Symbol" w:hint="default"/>
      </w:rPr>
    </w:lvl>
    <w:lvl w:ilvl="7" w:tplc="610A1718">
      <w:start w:val="1"/>
      <w:numFmt w:val="bullet"/>
      <w:lvlText w:val="o"/>
      <w:lvlJc w:val="left"/>
      <w:pPr>
        <w:ind w:left="5760" w:hanging="360"/>
      </w:pPr>
      <w:rPr>
        <w:rFonts w:ascii="Courier New" w:hAnsi="Courier New" w:cs="Courier New" w:hint="default"/>
      </w:rPr>
    </w:lvl>
    <w:lvl w:ilvl="8" w:tplc="4C805130">
      <w:start w:val="1"/>
      <w:numFmt w:val="bullet"/>
      <w:lvlText w:val=""/>
      <w:lvlJc w:val="left"/>
      <w:pPr>
        <w:ind w:left="6480" w:hanging="360"/>
      </w:pPr>
      <w:rPr>
        <w:rFonts w:ascii="Wingdings" w:hAnsi="Wingdings" w:hint="default"/>
      </w:rPr>
    </w:lvl>
  </w:abstractNum>
  <w:abstractNum w:abstractNumId="69" w15:restartNumberingAfterBreak="0">
    <w:nsid w:val="63B55A0D"/>
    <w:multiLevelType w:val="hybridMultilevel"/>
    <w:tmpl w:val="F3BC1834"/>
    <w:lvl w:ilvl="0" w:tplc="E862BDFA">
      <w:start w:val="1"/>
      <w:numFmt w:val="bullet"/>
      <w:lvlText w:val="–"/>
      <w:lvlJc w:val="left"/>
      <w:pPr>
        <w:ind w:left="1080" w:hanging="360"/>
      </w:pPr>
      <w:rPr>
        <w:rFonts w:ascii="Times New Roman" w:hAnsi="Times New Roman" w:cs="Times New Roman" w:hint="default"/>
      </w:rPr>
    </w:lvl>
    <w:lvl w:ilvl="1" w:tplc="C76E81BC">
      <w:start w:val="1"/>
      <w:numFmt w:val="bullet"/>
      <w:lvlText w:val="o"/>
      <w:lvlJc w:val="left"/>
      <w:pPr>
        <w:ind w:left="1800" w:hanging="360"/>
      </w:pPr>
      <w:rPr>
        <w:rFonts w:ascii="Courier New" w:hAnsi="Courier New" w:cs="Courier New" w:hint="default"/>
      </w:rPr>
    </w:lvl>
    <w:lvl w:ilvl="2" w:tplc="97088A20">
      <w:start w:val="1"/>
      <w:numFmt w:val="bullet"/>
      <w:lvlText w:val=""/>
      <w:lvlJc w:val="left"/>
      <w:pPr>
        <w:ind w:left="2520" w:hanging="360"/>
      </w:pPr>
      <w:rPr>
        <w:rFonts w:ascii="Wingdings" w:hAnsi="Wingdings" w:hint="default"/>
      </w:rPr>
    </w:lvl>
    <w:lvl w:ilvl="3" w:tplc="60CABFB0">
      <w:start w:val="1"/>
      <w:numFmt w:val="bullet"/>
      <w:lvlText w:val=""/>
      <w:lvlJc w:val="left"/>
      <w:pPr>
        <w:ind w:left="3240" w:hanging="360"/>
      </w:pPr>
      <w:rPr>
        <w:rFonts w:ascii="Symbol" w:hAnsi="Symbol" w:hint="default"/>
      </w:rPr>
    </w:lvl>
    <w:lvl w:ilvl="4" w:tplc="442A7CDA">
      <w:start w:val="1"/>
      <w:numFmt w:val="bullet"/>
      <w:lvlText w:val="o"/>
      <w:lvlJc w:val="left"/>
      <w:pPr>
        <w:ind w:left="3960" w:hanging="360"/>
      </w:pPr>
      <w:rPr>
        <w:rFonts w:ascii="Courier New" w:hAnsi="Courier New" w:cs="Courier New" w:hint="default"/>
      </w:rPr>
    </w:lvl>
    <w:lvl w:ilvl="5" w:tplc="1A127922">
      <w:start w:val="1"/>
      <w:numFmt w:val="bullet"/>
      <w:lvlText w:val=""/>
      <w:lvlJc w:val="left"/>
      <w:pPr>
        <w:ind w:left="4680" w:hanging="360"/>
      </w:pPr>
      <w:rPr>
        <w:rFonts w:ascii="Wingdings" w:hAnsi="Wingdings" w:hint="default"/>
      </w:rPr>
    </w:lvl>
    <w:lvl w:ilvl="6" w:tplc="7CD0B1C4">
      <w:start w:val="1"/>
      <w:numFmt w:val="bullet"/>
      <w:lvlText w:val=""/>
      <w:lvlJc w:val="left"/>
      <w:pPr>
        <w:ind w:left="5400" w:hanging="360"/>
      </w:pPr>
      <w:rPr>
        <w:rFonts w:ascii="Symbol" w:hAnsi="Symbol" w:hint="default"/>
      </w:rPr>
    </w:lvl>
    <w:lvl w:ilvl="7" w:tplc="34A2B7FE">
      <w:start w:val="1"/>
      <w:numFmt w:val="bullet"/>
      <w:lvlText w:val="o"/>
      <w:lvlJc w:val="left"/>
      <w:pPr>
        <w:ind w:left="6120" w:hanging="360"/>
      </w:pPr>
      <w:rPr>
        <w:rFonts w:ascii="Courier New" w:hAnsi="Courier New" w:cs="Courier New" w:hint="default"/>
      </w:rPr>
    </w:lvl>
    <w:lvl w:ilvl="8" w:tplc="1700DDA4">
      <w:start w:val="1"/>
      <w:numFmt w:val="bullet"/>
      <w:lvlText w:val=""/>
      <w:lvlJc w:val="left"/>
      <w:pPr>
        <w:ind w:left="6840" w:hanging="360"/>
      </w:pPr>
      <w:rPr>
        <w:rFonts w:ascii="Wingdings" w:hAnsi="Wingdings" w:hint="default"/>
      </w:rPr>
    </w:lvl>
  </w:abstractNum>
  <w:abstractNum w:abstractNumId="70" w15:restartNumberingAfterBreak="0">
    <w:nsid w:val="685F49BB"/>
    <w:multiLevelType w:val="hybridMultilevel"/>
    <w:tmpl w:val="A77264A4"/>
    <w:lvl w:ilvl="0" w:tplc="70A26F72">
      <w:start w:val="1"/>
      <w:numFmt w:val="bullet"/>
      <w:lvlText w:val="•"/>
      <w:lvlJc w:val="left"/>
      <w:pPr>
        <w:ind w:left="720" w:hanging="360"/>
      </w:pPr>
      <w:rPr>
        <w:rFonts w:ascii="Calibri" w:hAnsi="Calibri" w:hint="default"/>
        <w:b w:val="0"/>
        <w:i w:val="0"/>
        <w:sz w:val="22"/>
      </w:rPr>
    </w:lvl>
    <w:lvl w:ilvl="1" w:tplc="E18A2080">
      <w:start w:val="1"/>
      <w:numFmt w:val="bullet"/>
      <w:lvlText w:val="o"/>
      <w:lvlJc w:val="left"/>
      <w:pPr>
        <w:ind w:left="1440" w:hanging="360"/>
      </w:pPr>
      <w:rPr>
        <w:rFonts w:ascii="Courier New" w:hAnsi="Courier New" w:cs="Courier New" w:hint="default"/>
      </w:rPr>
    </w:lvl>
    <w:lvl w:ilvl="2" w:tplc="2FA64A7A">
      <w:start w:val="1"/>
      <w:numFmt w:val="bullet"/>
      <w:lvlText w:val=""/>
      <w:lvlJc w:val="left"/>
      <w:pPr>
        <w:ind w:left="2160" w:hanging="360"/>
      </w:pPr>
      <w:rPr>
        <w:rFonts w:ascii="Wingdings" w:hAnsi="Wingdings" w:hint="default"/>
      </w:rPr>
    </w:lvl>
    <w:lvl w:ilvl="3" w:tplc="7DEEA488">
      <w:start w:val="1"/>
      <w:numFmt w:val="bullet"/>
      <w:lvlText w:val=""/>
      <w:lvlJc w:val="left"/>
      <w:pPr>
        <w:ind w:left="2880" w:hanging="360"/>
      </w:pPr>
      <w:rPr>
        <w:rFonts w:ascii="Symbol" w:hAnsi="Symbol" w:hint="default"/>
      </w:rPr>
    </w:lvl>
    <w:lvl w:ilvl="4" w:tplc="76DAE9C0">
      <w:start w:val="1"/>
      <w:numFmt w:val="bullet"/>
      <w:lvlText w:val="o"/>
      <w:lvlJc w:val="left"/>
      <w:pPr>
        <w:ind w:left="3600" w:hanging="360"/>
      </w:pPr>
      <w:rPr>
        <w:rFonts w:ascii="Courier New" w:hAnsi="Courier New" w:cs="Courier New" w:hint="default"/>
      </w:rPr>
    </w:lvl>
    <w:lvl w:ilvl="5" w:tplc="0CF0D5D4">
      <w:start w:val="1"/>
      <w:numFmt w:val="bullet"/>
      <w:lvlText w:val=""/>
      <w:lvlJc w:val="left"/>
      <w:pPr>
        <w:ind w:left="4320" w:hanging="360"/>
      </w:pPr>
      <w:rPr>
        <w:rFonts w:ascii="Wingdings" w:hAnsi="Wingdings" w:hint="default"/>
      </w:rPr>
    </w:lvl>
    <w:lvl w:ilvl="6" w:tplc="E2102ACA">
      <w:start w:val="1"/>
      <w:numFmt w:val="bullet"/>
      <w:lvlText w:val=""/>
      <w:lvlJc w:val="left"/>
      <w:pPr>
        <w:ind w:left="5040" w:hanging="360"/>
      </w:pPr>
      <w:rPr>
        <w:rFonts w:ascii="Symbol" w:hAnsi="Symbol" w:hint="default"/>
      </w:rPr>
    </w:lvl>
    <w:lvl w:ilvl="7" w:tplc="0408E774">
      <w:start w:val="1"/>
      <w:numFmt w:val="bullet"/>
      <w:lvlText w:val="o"/>
      <w:lvlJc w:val="left"/>
      <w:pPr>
        <w:ind w:left="5760" w:hanging="360"/>
      </w:pPr>
      <w:rPr>
        <w:rFonts w:ascii="Courier New" w:hAnsi="Courier New" w:cs="Courier New" w:hint="default"/>
      </w:rPr>
    </w:lvl>
    <w:lvl w:ilvl="8" w:tplc="DAB4B6FE">
      <w:start w:val="1"/>
      <w:numFmt w:val="bullet"/>
      <w:lvlText w:val=""/>
      <w:lvlJc w:val="left"/>
      <w:pPr>
        <w:ind w:left="6480" w:hanging="360"/>
      </w:pPr>
      <w:rPr>
        <w:rFonts w:ascii="Wingdings" w:hAnsi="Wingdings" w:hint="default"/>
      </w:rPr>
    </w:lvl>
  </w:abstractNum>
  <w:abstractNum w:abstractNumId="71" w15:restartNumberingAfterBreak="0">
    <w:nsid w:val="689C03E3"/>
    <w:multiLevelType w:val="hybridMultilevel"/>
    <w:tmpl w:val="9B4055D0"/>
    <w:lvl w:ilvl="0" w:tplc="827C33AE">
      <w:start w:val="1"/>
      <w:numFmt w:val="bullet"/>
      <w:lvlText w:val="•"/>
      <w:lvlJc w:val="left"/>
      <w:pPr>
        <w:ind w:left="720" w:hanging="360"/>
      </w:pPr>
      <w:rPr>
        <w:rFonts w:ascii="Calibri" w:hAnsi="Calibri" w:hint="default"/>
        <w:b w:val="0"/>
        <w:i w:val="0"/>
        <w:sz w:val="22"/>
      </w:rPr>
    </w:lvl>
    <w:lvl w:ilvl="1" w:tplc="2954D4B2">
      <w:start w:val="1"/>
      <w:numFmt w:val="bullet"/>
      <w:lvlText w:val="o"/>
      <w:lvlJc w:val="left"/>
      <w:pPr>
        <w:ind w:left="1440" w:hanging="360"/>
      </w:pPr>
      <w:rPr>
        <w:rFonts w:ascii="Courier New" w:hAnsi="Courier New" w:cs="Courier New" w:hint="default"/>
      </w:rPr>
    </w:lvl>
    <w:lvl w:ilvl="2" w:tplc="26AC1D88">
      <w:start w:val="1"/>
      <w:numFmt w:val="bullet"/>
      <w:lvlText w:val=""/>
      <w:lvlJc w:val="left"/>
      <w:pPr>
        <w:ind w:left="2160" w:hanging="360"/>
      </w:pPr>
      <w:rPr>
        <w:rFonts w:ascii="Wingdings" w:hAnsi="Wingdings" w:hint="default"/>
      </w:rPr>
    </w:lvl>
    <w:lvl w:ilvl="3" w:tplc="621E7E88">
      <w:start w:val="1"/>
      <w:numFmt w:val="bullet"/>
      <w:lvlText w:val=""/>
      <w:lvlJc w:val="left"/>
      <w:pPr>
        <w:ind w:left="2880" w:hanging="360"/>
      </w:pPr>
      <w:rPr>
        <w:rFonts w:ascii="Symbol" w:hAnsi="Symbol" w:hint="default"/>
      </w:rPr>
    </w:lvl>
    <w:lvl w:ilvl="4" w:tplc="B492BA56">
      <w:start w:val="1"/>
      <w:numFmt w:val="bullet"/>
      <w:lvlText w:val="o"/>
      <w:lvlJc w:val="left"/>
      <w:pPr>
        <w:ind w:left="3600" w:hanging="360"/>
      </w:pPr>
      <w:rPr>
        <w:rFonts w:ascii="Courier New" w:hAnsi="Courier New" w:cs="Courier New" w:hint="default"/>
      </w:rPr>
    </w:lvl>
    <w:lvl w:ilvl="5" w:tplc="F42CD3C4">
      <w:start w:val="1"/>
      <w:numFmt w:val="bullet"/>
      <w:lvlText w:val=""/>
      <w:lvlJc w:val="left"/>
      <w:pPr>
        <w:ind w:left="4320" w:hanging="360"/>
      </w:pPr>
      <w:rPr>
        <w:rFonts w:ascii="Wingdings" w:hAnsi="Wingdings" w:hint="default"/>
      </w:rPr>
    </w:lvl>
    <w:lvl w:ilvl="6" w:tplc="BDBA1B50">
      <w:start w:val="1"/>
      <w:numFmt w:val="bullet"/>
      <w:lvlText w:val=""/>
      <w:lvlJc w:val="left"/>
      <w:pPr>
        <w:ind w:left="5040" w:hanging="360"/>
      </w:pPr>
      <w:rPr>
        <w:rFonts w:ascii="Symbol" w:hAnsi="Symbol" w:hint="default"/>
      </w:rPr>
    </w:lvl>
    <w:lvl w:ilvl="7" w:tplc="10C6DCBC">
      <w:start w:val="1"/>
      <w:numFmt w:val="bullet"/>
      <w:lvlText w:val="o"/>
      <w:lvlJc w:val="left"/>
      <w:pPr>
        <w:ind w:left="5760" w:hanging="360"/>
      </w:pPr>
      <w:rPr>
        <w:rFonts w:ascii="Courier New" w:hAnsi="Courier New" w:cs="Courier New" w:hint="default"/>
      </w:rPr>
    </w:lvl>
    <w:lvl w:ilvl="8" w:tplc="B16E4972">
      <w:start w:val="1"/>
      <w:numFmt w:val="bullet"/>
      <w:lvlText w:val=""/>
      <w:lvlJc w:val="left"/>
      <w:pPr>
        <w:ind w:left="6480" w:hanging="360"/>
      </w:pPr>
      <w:rPr>
        <w:rFonts w:ascii="Wingdings" w:hAnsi="Wingdings" w:hint="default"/>
      </w:rPr>
    </w:lvl>
  </w:abstractNum>
  <w:abstractNum w:abstractNumId="72" w15:restartNumberingAfterBreak="0">
    <w:nsid w:val="6C1120C7"/>
    <w:multiLevelType w:val="hybridMultilevel"/>
    <w:tmpl w:val="53347B1E"/>
    <w:lvl w:ilvl="0" w:tplc="954E6A48">
      <w:start w:val="1"/>
      <w:numFmt w:val="bullet"/>
      <w:lvlText w:val=""/>
      <w:lvlJc w:val="left"/>
      <w:pPr>
        <w:ind w:left="720" w:hanging="360"/>
      </w:pPr>
      <w:rPr>
        <w:rFonts w:ascii="Symbol" w:hAnsi="Symbol" w:hint="default"/>
      </w:rPr>
    </w:lvl>
    <w:lvl w:ilvl="1" w:tplc="D9287BF4">
      <w:start w:val="1"/>
      <w:numFmt w:val="bullet"/>
      <w:lvlText w:val="o"/>
      <w:lvlJc w:val="left"/>
      <w:pPr>
        <w:ind w:left="1440" w:hanging="360"/>
      </w:pPr>
      <w:rPr>
        <w:rFonts w:ascii="Courier New" w:hAnsi="Courier New" w:cs="Courier New" w:hint="default"/>
      </w:rPr>
    </w:lvl>
    <w:lvl w:ilvl="2" w:tplc="C5EC807C">
      <w:start w:val="1"/>
      <w:numFmt w:val="bullet"/>
      <w:lvlText w:val=""/>
      <w:lvlJc w:val="left"/>
      <w:pPr>
        <w:ind w:left="2160" w:hanging="360"/>
      </w:pPr>
      <w:rPr>
        <w:rFonts w:ascii="Wingdings" w:hAnsi="Wingdings" w:hint="default"/>
      </w:rPr>
    </w:lvl>
    <w:lvl w:ilvl="3" w:tplc="7DDE52AA">
      <w:start w:val="1"/>
      <w:numFmt w:val="bullet"/>
      <w:lvlText w:val=""/>
      <w:lvlJc w:val="left"/>
      <w:pPr>
        <w:ind w:left="2880" w:hanging="360"/>
      </w:pPr>
      <w:rPr>
        <w:rFonts w:ascii="Symbol" w:hAnsi="Symbol" w:hint="default"/>
      </w:rPr>
    </w:lvl>
    <w:lvl w:ilvl="4" w:tplc="B008976E">
      <w:start w:val="1"/>
      <w:numFmt w:val="bullet"/>
      <w:lvlText w:val="o"/>
      <w:lvlJc w:val="left"/>
      <w:pPr>
        <w:ind w:left="3600" w:hanging="360"/>
      </w:pPr>
      <w:rPr>
        <w:rFonts w:ascii="Courier New" w:hAnsi="Courier New" w:cs="Courier New" w:hint="default"/>
      </w:rPr>
    </w:lvl>
    <w:lvl w:ilvl="5" w:tplc="BF78D9D6">
      <w:start w:val="1"/>
      <w:numFmt w:val="bullet"/>
      <w:lvlText w:val=""/>
      <w:lvlJc w:val="left"/>
      <w:pPr>
        <w:ind w:left="4320" w:hanging="360"/>
      </w:pPr>
      <w:rPr>
        <w:rFonts w:ascii="Wingdings" w:hAnsi="Wingdings" w:hint="default"/>
      </w:rPr>
    </w:lvl>
    <w:lvl w:ilvl="6" w:tplc="77CC6D52">
      <w:start w:val="1"/>
      <w:numFmt w:val="bullet"/>
      <w:lvlText w:val=""/>
      <w:lvlJc w:val="left"/>
      <w:pPr>
        <w:ind w:left="5040" w:hanging="360"/>
      </w:pPr>
      <w:rPr>
        <w:rFonts w:ascii="Symbol" w:hAnsi="Symbol" w:hint="default"/>
      </w:rPr>
    </w:lvl>
    <w:lvl w:ilvl="7" w:tplc="741486DE">
      <w:start w:val="1"/>
      <w:numFmt w:val="bullet"/>
      <w:lvlText w:val="o"/>
      <w:lvlJc w:val="left"/>
      <w:pPr>
        <w:ind w:left="5760" w:hanging="360"/>
      </w:pPr>
      <w:rPr>
        <w:rFonts w:ascii="Courier New" w:hAnsi="Courier New" w:cs="Courier New" w:hint="default"/>
      </w:rPr>
    </w:lvl>
    <w:lvl w:ilvl="8" w:tplc="6D8E6C7A">
      <w:start w:val="1"/>
      <w:numFmt w:val="bullet"/>
      <w:lvlText w:val=""/>
      <w:lvlJc w:val="left"/>
      <w:pPr>
        <w:ind w:left="6480" w:hanging="360"/>
      </w:pPr>
      <w:rPr>
        <w:rFonts w:ascii="Wingdings" w:hAnsi="Wingdings" w:hint="default"/>
      </w:rPr>
    </w:lvl>
  </w:abstractNum>
  <w:abstractNum w:abstractNumId="73" w15:restartNumberingAfterBreak="0">
    <w:nsid w:val="6C2C1D82"/>
    <w:multiLevelType w:val="hybridMultilevel"/>
    <w:tmpl w:val="7F9268E6"/>
    <w:lvl w:ilvl="0" w:tplc="DB864270">
      <w:start w:val="1"/>
      <w:numFmt w:val="bullet"/>
      <w:lvlText w:val="•"/>
      <w:lvlJc w:val="left"/>
      <w:pPr>
        <w:ind w:left="720" w:hanging="360"/>
      </w:pPr>
      <w:rPr>
        <w:rFonts w:ascii="Calibri" w:hAnsi="Calibri" w:hint="default"/>
        <w:b w:val="0"/>
        <w:i w:val="0"/>
        <w:sz w:val="22"/>
      </w:rPr>
    </w:lvl>
    <w:lvl w:ilvl="1" w:tplc="591C0162">
      <w:start w:val="1"/>
      <w:numFmt w:val="bullet"/>
      <w:lvlText w:val="o"/>
      <w:lvlJc w:val="left"/>
      <w:pPr>
        <w:ind w:left="1440" w:hanging="360"/>
      </w:pPr>
      <w:rPr>
        <w:rFonts w:ascii="Courier New" w:hAnsi="Courier New" w:cs="Courier New" w:hint="default"/>
      </w:rPr>
    </w:lvl>
    <w:lvl w:ilvl="2" w:tplc="58866AA8">
      <w:start w:val="1"/>
      <w:numFmt w:val="bullet"/>
      <w:lvlText w:val=""/>
      <w:lvlJc w:val="left"/>
      <w:pPr>
        <w:ind w:left="2160" w:hanging="360"/>
      </w:pPr>
      <w:rPr>
        <w:rFonts w:ascii="Wingdings" w:hAnsi="Wingdings" w:hint="default"/>
      </w:rPr>
    </w:lvl>
    <w:lvl w:ilvl="3" w:tplc="1F8206B4">
      <w:start w:val="1"/>
      <w:numFmt w:val="bullet"/>
      <w:lvlText w:val=""/>
      <w:lvlJc w:val="left"/>
      <w:pPr>
        <w:ind w:left="2880" w:hanging="360"/>
      </w:pPr>
      <w:rPr>
        <w:rFonts w:ascii="Symbol" w:hAnsi="Symbol" w:hint="default"/>
      </w:rPr>
    </w:lvl>
    <w:lvl w:ilvl="4" w:tplc="7A429B0A">
      <w:start w:val="1"/>
      <w:numFmt w:val="bullet"/>
      <w:lvlText w:val="o"/>
      <w:lvlJc w:val="left"/>
      <w:pPr>
        <w:ind w:left="3600" w:hanging="360"/>
      </w:pPr>
      <w:rPr>
        <w:rFonts w:ascii="Courier New" w:hAnsi="Courier New" w:cs="Courier New" w:hint="default"/>
      </w:rPr>
    </w:lvl>
    <w:lvl w:ilvl="5" w:tplc="7820BFD0">
      <w:start w:val="1"/>
      <w:numFmt w:val="bullet"/>
      <w:lvlText w:val=""/>
      <w:lvlJc w:val="left"/>
      <w:pPr>
        <w:ind w:left="4320" w:hanging="360"/>
      </w:pPr>
      <w:rPr>
        <w:rFonts w:ascii="Wingdings" w:hAnsi="Wingdings" w:hint="default"/>
      </w:rPr>
    </w:lvl>
    <w:lvl w:ilvl="6" w:tplc="459000B4">
      <w:start w:val="1"/>
      <w:numFmt w:val="bullet"/>
      <w:lvlText w:val=""/>
      <w:lvlJc w:val="left"/>
      <w:pPr>
        <w:ind w:left="5040" w:hanging="360"/>
      </w:pPr>
      <w:rPr>
        <w:rFonts w:ascii="Symbol" w:hAnsi="Symbol" w:hint="default"/>
      </w:rPr>
    </w:lvl>
    <w:lvl w:ilvl="7" w:tplc="3F02A620">
      <w:start w:val="1"/>
      <w:numFmt w:val="bullet"/>
      <w:lvlText w:val="o"/>
      <w:lvlJc w:val="left"/>
      <w:pPr>
        <w:ind w:left="5760" w:hanging="360"/>
      </w:pPr>
      <w:rPr>
        <w:rFonts w:ascii="Courier New" w:hAnsi="Courier New" w:cs="Courier New" w:hint="default"/>
      </w:rPr>
    </w:lvl>
    <w:lvl w:ilvl="8" w:tplc="868E77F4">
      <w:start w:val="1"/>
      <w:numFmt w:val="bullet"/>
      <w:lvlText w:val=""/>
      <w:lvlJc w:val="left"/>
      <w:pPr>
        <w:ind w:left="6480" w:hanging="360"/>
      </w:pPr>
      <w:rPr>
        <w:rFonts w:ascii="Wingdings" w:hAnsi="Wingdings" w:hint="default"/>
      </w:rPr>
    </w:lvl>
  </w:abstractNum>
  <w:abstractNum w:abstractNumId="74" w15:restartNumberingAfterBreak="0">
    <w:nsid w:val="6C611382"/>
    <w:multiLevelType w:val="hybridMultilevel"/>
    <w:tmpl w:val="24B82CAC"/>
    <w:lvl w:ilvl="0" w:tplc="4EB4D39C">
      <w:start w:val="1"/>
      <w:numFmt w:val="bullet"/>
      <w:lvlText w:val=""/>
      <w:lvlJc w:val="left"/>
      <w:pPr>
        <w:ind w:left="720" w:hanging="360"/>
      </w:pPr>
      <w:rPr>
        <w:rFonts w:ascii="Symbol" w:hAnsi="Symbol" w:hint="default"/>
      </w:rPr>
    </w:lvl>
    <w:lvl w:ilvl="1" w:tplc="ADB68E2E">
      <w:start w:val="1"/>
      <w:numFmt w:val="bullet"/>
      <w:lvlText w:val="•"/>
      <w:lvlJc w:val="left"/>
      <w:pPr>
        <w:ind w:left="1440" w:hanging="360"/>
      </w:pPr>
      <w:rPr>
        <w:rFonts w:ascii="Calibri" w:hAnsi="Calibri" w:hint="default"/>
        <w:b w:val="0"/>
        <w:i w:val="0"/>
        <w:sz w:val="22"/>
      </w:rPr>
    </w:lvl>
    <w:lvl w:ilvl="2" w:tplc="1248C8A6">
      <w:start w:val="1"/>
      <w:numFmt w:val="bullet"/>
      <w:lvlText w:val=""/>
      <w:lvlJc w:val="left"/>
      <w:pPr>
        <w:ind w:left="2160" w:hanging="360"/>
      </w:pPr>
      <w:rPr>
        <w:rFonts w:ascii="Wingdings" w:hAnsi="Wingdings" w:hint="default"/>
      </w:rPr>
    </w:lvl>
    <w:lvl w:ilvl="3" w:tplc="2D02119E">
      <w:start w:val="1"/>
      <w:numFmt w:val="bullet"/>
      <w:lvlText w:val=""/>
      <w:lvlJc w:val="left"/>
      <w:pPr>
        <w:ind w:left="2880" w:hanging="360"/>
      </w:pPr>
      <w:rPr>
        <w:rFonts w:ascii="Symbol" w:hAnsi="Symbol" w:hint="default"/>
      </w:rPr>
    </w:lvl>
    <w:lvl w:ilvl="4" w:tplc="5C3A7DDE">
      <w:start w:val="1"/>
      <w:numFmt w:val="bullet"/>
      <w:lvlText w:val="o"/>
      <w:lvlJc w:val="left"/>
      <w:pPr>
        <w:ind w:left="3600" w:hanging="360"/>
      </w:pPr>
      <w:rPr>
        <w:rFonts w:ascii="Courier New" w:hAnsi="Courier New" w:cs="Courier New" w:hint="default"/>
      </w:rPr>
    </w:lvl>
    <w:lvl w:ilvl="5" w:tplc="2368A894">
      <w:start w:val="1"/>
      <w:numFmt w:val="bullet"/>
      <w:lvlText w:val=""/>
      <w:lvlJc w:val="left"/>
      <w:pPr>
        <w:ind w:left="4320" w:hanging="360"/>
      </w:pPr>
      <w:rPr>
        <w:rFonts w:ascii="Wingdings" w:hAnsi="Wingdings" w:hint="default"/>
      </w:rPr>
    </w:lvl>
    <w:lvl w:ilvl="6" w:tplc="D3D0533C">
      <w:start w:val="1"/>
      <w:numFmt w:val="bullet"/>
      <w:lvlText w:val=""/>
      <w:lvlJc w:val="left"/>
      <w:pPr>
        <w:ind w:left="5040" w:hanging="360"/>
      </w:pPr>
      <w:rPr>
        <w:rFonts w:ascii="Symbol" w:hAnsi="Symbol" w:hint="default"/>
      </w:rPr>
    </w:lvl>
    <w:lvl w:ilvl="7" w:tplc="BFFA6370">
      <w:start w:val="1"/>
      <w:numFmt w:val="bullet"/>
      <w:lvlText w:val="o"/>
      <w:lvlJc w:val="left"/>
      <w:pPr>
        <w:ind w:left="5760" w:hanging="360"/>
      </w:pPr>
      <w:rPr>
        <w:rFonts w:ascii="Courier New" w:hAnsi="Courier New" w:cs="Courier New" w:hint="default"/>
      </w:rPr>
    </w:lvl>
    <w:lvl w:ilvl="8" w:tplc="5A08487E">
      <w:start w:val="1"/>
      <w:numFmt w:val="bullet"/>
      <w:lvlText w:val=""/>
      <w:lvlJc w:val="left"/>
      <w:pPr>
        <w:ind w:left="6480" w:hanging="360"/>
      </w:pPr>
      <w:rPr>
        <w:rFonts w:ascii="Wingdings" w:hAnsi="Wingdings" w:hint="default"/>
      </w:rPr>
    </w:lvl>
  </w:abstractNum>
  <w:abstractNum w:abstractNumId="75" w15:restartNumberingAfterBreak="0">
    <w:nsid w:val="6ECC5B5A"/>
    <w:multiLevelType w:val="hybridMultilevel"/>
    <w:tmpl w:val="CAE0876C"/>
    <w:lvl w:ilvl="0" w:tplc="181C65D6">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2E34B2"/>
    <w:multiLevelType w:val="hybridMultilevel"/>
    <w:tmpl w:val="AE22E924"/>
    <w:styleLink w:val="popis"/>
    <w:lvl w:ilvl="0" w:tplc="A034903C">
      <w:start w:val="1"/>
      <w:numFmt w:val="decimal"/>
      <w:pStyle w:val="popis"/>
      <w:lvlText w:val="%1."/>
      <w:lvlJc w:val="left"/>
      <w:pPr>
        <w:ind w:left="567" w:hanging="567"/>
      </w:pPr>
      <w:rPr>
        <w:caps w:val="0"/>
        <w:smallCaps w:val="0"/>
        <w:strike w:val="0"/>
        <w:dstrike w:val="0"/>
        <w:vanish w:val="0"/>
        <w:vertAlign w:val="baseline"/>
      </w:rPr>
    </w:lvl>
    <w:lvl w:ilvl="1" w:tplc="B5EE0486">
      <w:start w:val="1"/>
      <w:numFmt w:val="none"/>
      <w:lvlText w:val=""/>
      <w:lvlJc w:val="left"/>
      <w:pPr>
        <w:ind w:left="720" w:hanging="360"/>
      </w:pPr>
      <w:rPr>
        <w:rFonts w:hint="default"/>
      </w:rPr>
    </w:lvl>
    <w:lvl w:ilvl="2" w:tplc="0A8C0AA4">
      <w:start w:val="1"/>
      <w:numFmt w:val="none"/>
      <w:lvlText w:val=""/>
      <w:lvlJc w:val="left"/>
      <w:pPr>
        <w:ind w:left="1080" w:hanging="360"/>
      </w:pPr>
      <w:rPr>
        <w:rFonts w:hint="default"/>
      </w:rPr>
    </w:lvl>
    <w:lvl w:ilvl="3" w:tplc="815E6654">
      <w:start w:val="1"/>
      <w:numFmt w:val="none"/>
      <w:lvlText w:val=""/>
      <w:lvlJc w:val="left"/>
      <w:pPr>
        <w:ind w:left="1440" w:hanging="360"/>
      </w:pPr>
      <w:rPr>
        <w:rFonts w:hint="default"/>
      </w:rPr>
    </w:lvl>
    <w:lvl w:ilvl="4" w:tplc="023E41C6">
      <w:start w:val="1"/>
      <w:numFmt w:val="none"/>
      <w:lvlRestart w:val="0"/>
      <w:lvlText w:val=""/>
      <w:lvlJc w:val="left"/>
      <w:pPr>
        <w:ind w:left="1800" w:hanging="360"/>
      </w:pPr>
      <w:rPr>
        <w:rFonts w:hint="default"/>
      </w:rPr>
    </w:lvl>
    <w:lvl w:ilvl="5" w:tplc="D1C88C30">
      <w:start w:val="1"/>
      <w:numFmt w:val="none"/>
      <w:lvlText w:val=""/>
      <w:lvlJc w:val="left"/>
      <w:pPr>
        <w:ind w:left="2160" w:hanging="360"/>
      </w:pPr>
      <w:rPr>
        <w:rFonts w:hint="default"/>
      </w:rPr>
    </w:lvl>
    <w:lvl w:ilvl="6" w:tplc="911C6C1A">
      <w:start w:val="1"/>
      <w:numFmt w:val="none"/>
      <w:lvlText w:val=""/>
      <w:lvlJc w:val="left"/>
      <w:pPr>
        <w:ind w:left="2520" w:hanging="360"/>
      </w:pPr>
      <w:rPr>
        <w:rFonts w:hint="default"/>
      </w:rPr>
    </w:lvl>
    <w:lvl w:ilvl="7" w:tplc="AE020228">
      <w:start w:val="1"/>
      <w:numFmt w:val="none"/>
      <w:lvlText w:val=""/>
      <w:lvlJc w:val="left"/>
      <w:pPr>
        <w:ind w:left="2880" w:hanging="360"/>
      </w:pPr>
      <w:rPr>
        <w:rFonts w:hint="default"/>
      </w:rPr>
    </w:lvl>
    <w:lvl w:ilvl="8" w:tplc="3B349262">
      <w:start w:val="1"/>
      <w:numFmt w:val="none"/>
      <w:lvlText w:val=""/>
      <w:lvlJc w:val="left"/>
      <w:pPr>
        <w:ind w:left="3240" w:hanging="360"/>
      </w:pPr>
      <w:rPr>
        <w:rFonts w:hint="default"/>
      </w:rPr>
    </w:lvl>
  </w:abstractNum>
  <w:abstractNum w:abstractNumId="77" w15:restartNumberingAfterBreak="0">
    <w:nsid w:val="7444353B"/>
    <w:multiLevelType w:val="hybridMultilevel"/>
    <w:tmpl w:val="9328D0B0"/>
    <w:lvl w:ilvl="0" w:tplc="A7AAD4A6">
      <w:start w:val="1"/>
      <w:numFmt w:val="bullet"/>
      <w:lvlText w:val=""/>
      <w:lvlJc w:val="left"/>
      <w:pPr>
        <w:ind w:left="720" w:hanging="360"/>
      </w:pPr>
      <w:rPr>
        <w:rFonts w:ascii="Symbol" w:hAnsi="Symbol" w:hint="default"/>
      </w:rPr>
    </w:lvl>
    <w:lvl w:ilvl="1" w:tplc="867AA0B2">
      <w:start w:val="1"/>
      <w:numFmt w:val="bullet"/>
      <w:lvlText w:val="o"/>
      <w:lvlJc w:val="left"/>
      <w:pPr>
        <w:ind w:left="1440" w:hanging="360"/>
      </w:pPr>
      <w:rPr>
        <w:rFonts w:ascii="Courier New" w:hAnsi="Courier New" w:cs="Courier New" w:hint="default"/>
      </w:rPr>
    </w:lvl>
    <w:lvl w:ilvl="2" w:tplc="66CC22DE">
      <w:start w:val="1"/>
      <w:numFmt w:val="bullet"/>
      <w:lvlText w:val=""/>
      <w:lvlJc w:val="left"/>
      <w:pPr>
        <w:ind w:left="2160" w:hanging="360"/>
      </w:pPr>
      <w:rPr>
        <w:rFonts w:ascii="Wingdings" w:hAnsi="Wingdings" w:hint="default"/>
      </w:rPr>
    </w:lvl>
    <w:lvl w:ilvl="3" w:tplc="2108A3D2">
      <w:start w:val="1"/>
      <w:numFmt w:val="bullet"/>
      <w:lvlText w:val=""/>
      <w:lvlJc w:val="left"/>
      <w:pPr>
        <w:ind w:left="2880" w:hanging="360"/>
      </w:pPr>
      <w:rPr>
        <w:rFonts w:ascii="Symbol" w:hAnsi="Symbol" w:hint="default"/>
      </w:rPr>
    </w:lvl>
    <w:lvl w:ilvl="4" w:tplc="3A16CE36">
      <w:start w:val="1"/>
      <w:numFmt w:val="bullet"/>
      <w:lvlText w:val="o"/>
      <w:lvlJc w:val="left"/>
      <w:pPr>
        <w:ind w:left="3600" w:hanging="360"/>
      </w:pPr>
      <w:rPr>
        <w:rFonts w:ascii="Courier New" w:hAnsi="Courier New" w:cs="Courier New" w:hint="default"/>
      </w:rPr>
    </w:lvl>
    <w:lvl w:ilvl="5" w:tplc="738412D0">
      <w:start w:val="1"/>
      <w:numFmt w:val="bullet"/>
      <w:lvlText w:val=""/>
      <w:lvlJc w:val="left"/>
      <w:pPr>
        <w:ind w:left="4320" w:hanging="360"/>
      </w:pPr>
      <w:rPr>
        <w:rFonts w:ascii="Wingdings" w:hAnsi="Wingdings" w:hint="default"/>
      </w:rPr>
    </w:lvl>
    <w:lvl w:ilvl="6" w:tplc="15AA7446">
      <w:start w:val="1"/>
      <w:numFmt w:val="bullet"/>
      <w:lvlText w:val=""/>
      <w:lvlJc w:val="left"/>
      <w:pPr>
        <w:ind w:left="5040" w:hanging="360"/>
      </w:pPr>
      <w:rPr>
        <w:rFonts w:ascii="Symbol" w:hAnsi="Symbol" w:hint="default"/>
      </w:rPr>
    </w:lvl>
    <w:lvl w:ilvl="7" w:tplc="06BCDC48">
      <w:start w:val="1"/>
      <w:numFmt w:val="bullet"/>
      <w:lvlText w:val="o"/>
      <w:lvlJc w:val="left"/>
      <w:pPr>
        <w:ind w:left="5760" w:hanging="360"/>
      </w:pPr>
      <w:rPr>
        <w:rFonts w:ascii="Courier New" w:hAnsi="Courier New" w:cs="Courier New" w:hint="default"/>
      </w:rPr>
    </w:lvl>
    <w:lvl w:ilvl="8" w:tplc="3488A35C">
      <w:start w:val="1"/>
      <w:numFmt w:val="bullet"/>
      <w:lvlText w:val=""/>
      <w:lvlJc w:val="left"/>
      <w:pPr>
        <w:ind w:left="6480" w:hanging="360"/>
      </w:pPr>
      <w:rPr>
        <w:rFonts w:ascii="Wingdings" w:hAnsi="Wingdings" w:hint="default"/>
      </w:rPr>
    </w:lvl>
  </w:abstractNum>
  <w:abstractNum w:abstractNumId="78" w15:restartNumberingAfterBreak="0">
    <w:nsid w:val="747F7AA2"/>
    <w:multiLevelType w:val="hybridMultilevel"/>
    <w:tmpl w:val="E4F2DCA8"/>
    <w:lvl w:ilvl="0" w:tplc="CE949B92">
      <w:start w:val="1"/>
      <w:numFmt w:val="bullet"/>
      <w:lvlText w:val="•"/>
      <w:lvlJc w:val="left"/>
      <w:pPr>
        <w:ind w:left="720" w:hanging="360"/>
      </w:pPr>
      <w:rPr>
        <w:rFonts w:ascii="Calibri" w:hAnsi="Calibri" w:hint="default"/>
        <w:b w:val="0"/>
        <w:i w:val="0"/>
        <w:sz w:val="22"/>
      </w:rPr>
    </w:lvl>
    <w:lvl w:ilvl="1" w:tplc="D97C10F8">
      <w:start w:val="1"/>
      <w:numFmt w:val="bullet"/>
      <w:lvlText w:val="o"/>
      <w:lvlJc w:val="left"/>
      <w:pPr>
        <w:ind w:left="1440" w:hanging="360"/>
      </w:pPr>
      <w:rPr>
        <w:rFonts w:ascii="Courier New" w:hAnsi="Courier New" w:cs="Courier New" w:hint="default"/>
      </w:rPr>
    </w:lvl>
    <w:lvl w:ilvl="2" w:tplc="71CAB1D8">
      <w:start w:val="1"/>
      <w:numFmt w:val="bullet"/>
      <w:lvlText w:val=""/>
      <w:lvlJc w:val="left"/>
      <w:pPr>
        <w:ind w:left="2160" w:hanging="360"/>
      </w:pPr>
      <w:rPr>
        <w:rFonts w:ascii="Wingdings" w:hAnsi="Wingdings" w:hint="default"/>
      </w:rPr>
    </w:lvl>
    <w:lvl w:ilvl="3" w:tplc="3F9A6300">
      <w:start w:val="1"/>
      <w:numFmt w:val="bullet"/>
      <w:lvlText w:val=""/>
      <w:lvlJc w:val="left"/>
      <w:pPr>
        <w:ind w:left="2880" w:hanging="360"/>
      </w:pPr>
      <w:rPr>
        <w:rFonts w:ascii="Symbol" w:hAnsi="Symbol" w:hint="default"/>
      </w:rPr>
    </w:lvl>
    <w:lvl w:ilvl="4" w:tplc="7F242B02">
      <w:start w:val="1"/>
      <w:numFmt w:val="bullet"/>
      <w:lvlText w:val="o"/>
      <w:lvlJc w:val="left"/>
      <w:pPr>
        <w:ind w:left="3600" w:hanging="360"/>
      </w:pPr>
      <w:rPr>
        <w:rFonts w:ascii="Courier New" w:hAnsi="Courier New" w:cs="Courier New" w:hint="default"/>
      </w:rPr>
    </w:lvl>
    <w:lvl w:ilvl="5" w:tplc="6D9C7638">
      <w:start w:val="1"/>
      <w:numFmt w:val="bullet"/>
      <w:lvlText w:val=""/>
      <w:lvlJc w:val="left"/>
      <w:pPr>
        <w:ind w:left="4320" w:hanging="360"/>
      </w:pPr>
      <w:rPr>
        <w:rFonts w:ascii="Wingdings" w:hAnsi="Wingdings" w:hint="default"/>
      </w:rPr>
    </w:lvl>
    <w:lvl w:ilvl="6" w:tplc="CEA2B2C8">
      <w:start w:val="1"/>
      <w:numFmt w:val="bullet"/>
      <w:lvlText w:val=""/>
      <w:lvlJc w:val="left"/>
      <w:pPr>
        <w:ind w:left="5040" w:hanging="360"/>
      </w:pPr>
      <w:rPr>
        <w:rFonts w:ascii="Symbol" w:hAnsi="Symbol" w:hint="default"/>
      </w:rPr>
    </w:lvl>
    <w:lvl w:ilvl="7" w:tplc="3AB48C5C">
      <w:start w:val="1"/>
      <w:numFmt w:val="bullet"/>
      <w:lvlText w:val="o"/>
      <w:lvlJc w:val="left"/>
      <w:pPr>
        <w:ind w:left="5760" w:hanging="360"/>
      </w:pPr>
      <w:rPr>
        <w:rFonts w:ascii="Courier New" w:hAnsi="Courier New" w:cs="Courier New" w:hint="default"/>
      </w:rPr>
    </w:lvl>
    <w:lvl w:ilvl="8" w:tplc="1EAE4390">
      <w:start w:val="1"/>
      <w:numFmt w:val="bullet"/>
      <w:lvlText w:val=""/>
      <w:lvlJc w:val="left"/>
      <w:pPr>
        <w:ind w:left="6480" w:hanging="360"/>
      </w:pPr>
      <w:rPr>
        <w:rFonts w:ascii="Wingdings" w:hAnsi="Wingdings" w:hint="default"/>
      </w:rPr>
    </w:lvl>
  </w:abstractNum>
  <w:abstractNum w:abstractNumId="79" w15:restartNumberingAfterBreak="0">
    <w:nsid w:val="758B3212"/>
    <w:multiLevelType w:val="hybridMultilevel"/>
    <w:tmpl w:val="541AFF3C"/>
    <w:lvl w:ilvl="0" w:tplc="3AD8B9A8">
      <w:start w:val="1"/>
      <w:numFmt w:val="bullet"/>
      <w:lvlText w:val="•"/>
      <w:lvlJc w:val="left"/>
      <w:pPr>
        <w:ind w:left="720" w:hanging="360"/>
      </w:pPr>
      <w:rPr>
        <w:rFonts w:ascii="Calibri" w:hAnsi="Calibri" w:hint="default"/>
        <w:b w:val="0"/>
        <w:i w:val="0"/>
        <w:sz w:val="22"/>
      </w:rPr>
    </w:lvl>
    <w:lvl w:ilvl="1" w:tplc="0D2CCA16">
      <w:start w:val="1"/>
      <w:numFmt w:val="bullet"/>
      <w:lvlText w:val="o"/>
      <w:lvlJc w:val="left"/>
      <w:pPr>
        <w:ind w:left="1440" w:hanging="360"/>
      </w:pPr>
      <w:rPr>
        <w:rFonts w:ascii="Courier New" w:hAnsi="Courier New" w:cs="Courier New" w:hint="default"/>
      </w:rPr>
    </w:lvl>
    <w:lvl w:ilvl="2" w:tplc="3814CDA0">
      <w:start w:val="1"/>
      <w:numFmt w:val="bullet"/>
      <w:lvlText w:val=""/>
      <w:lvlJc w:val="left"/>
      <w:pPr>
        <w:ind w:left="2160" w:hanging="360"/>
      </w:pPr>
      <w:rPr>
        <w:rFonts w:ascii="Wingdings" w:hAnsi="Wingdings" w:hint="default"/>
      </w:rPr>
    </w:lvl>
    <w:lvl w:ilvl="3" w:tplc="2368AD4A">
      <w:start w:val="1"/>
      <w:numFmt w:val="bullet"/>
      <w:lvlText w:val=""/>
      <w:lvlJc w:val="left"/>
      <w:pPr>
        <w:ind w:left="2880" w:hanging="360"/>
      </w:pPr>
      <w:rPr>
        <w:rFonts w:ascii="Symbol" w:hAnsi="Symbol" w:hint="default"/>
      </w:rPr>
    </w:lvl>
    <w:lvl w:ilvl="4" w:tplc="94B0B3C8">
      <w:start w:val="1"/>
      <w:numFmt w:val="bullet"/>
      <w:lvlText w:val="o"/>
      <w:lvlJc w:val="left"/>
      <w:pPr>
        <w:ind w:left="3600" w:hanging="360"/>
      </w:pPr>
      <w:rPr>
        <w:rFonts w:ascii="Courier New" w:hAnsi="Courier New" w:cs="Courier New" w:hint="default"/>
      </w:rPr>
    </w:lvl>
    <w:lvl w:ilvl="5" w:tplc="B1AED4FA">
      <w:start w:val="1"/>
      <w:numFmt w:val="bullet"/>
      <w:lvlText w:val=""/>
      <w:lvlJc w:val="left"/>
      <w:pPr>
        <w:ind w:left="4320" w:hanging="360"/>
      </w:pPr>
      <w:rPr>
        <w:rFonts w:ascii="Wingdings" w:hAnsi="Wingdings" w:hint="default"/>
      </w:rPr>
    </w:lvl>
    <w:lvl w:ilvl="6" w:tplc="2AEE685A">
      <w:start w:val="1"/>
      <w:numFmt w:val="bullet"/>
      <w:lvlText w:val=""/>
      <w:lvlJc w:val="left"/>
      <w:pPr>
        <w:ind w:left="5040" w:hanging="360"/>
      </w:pPr>
      <w:rPr>
        <w:rFonts w:ascii="Symbol" w:hAnsi="Symbol" w:hint="default"/>
      </w:rPr>
    </w:lvl>
    <w:lvl w:ilvl="7" w:tplc="CB4497D6">
      <w:start w:val="1"/>
      <w:numFmt w:val="bullet"/>
      <w:lvlText w:val="o"/>
      <w:lvlJc w:val="left"/>
      <w:pPr>
        <w:ind w:left="5760" w:hanging="360"/>
      </w:pPr>
      <w:rPr>
        <w:rFonts w:ascii="Courier New" w:hAnsi="Courier New" w:cs="Courier New" w:hint="default"/>
      </w:rPr>
    </w:lvl>
    <w:lvl w:ilvl="8" w:tplc="697C4812">
      <w:start w:val="1"/>
      <w:numFmt w:val="bullet"/>
      <w:lvlText w:val=""/>
      <w:lvlJc w:val="left"/>
      <w:pPr>
        <w:ind w:left="6480" w:hanging="360"/>
      </w:pPr>
      <w:rPr>
        <w:rFonts w:ascii="Wingdings" w:hAnsi="Wingdings" w:hint="default"/>
      </w:rPr>
    </w:lvl>
  </w:abstractNum>
  <w:abstractNum w:abstractNumId="80" w15:restartNumberingAfterBreak="0">
    <w:nsid w:val="75A46A44"/>
    <w:multiLevelType w:val="hybridMultilevel"/>
    <w:tmpl w:val="0B16C900"/>
    <w:lvl w:ilvl="0" w:tplc="B4501998">
      <w:start w:val="1"/>
      <w:numFmt w:val="bullet"/>
      <w:lvlText w:val=""/>
      <w:lvlJc w:val="left"/>
      <w:pPr>
        <w:ind w:left="720" w:hanging="360"/>
      </w:pPr>
      <w:rPr>
        <w:rFonts w:ascii="Symbol" w:hAnsi="Symbol" w:hint="default"/>
      </w:rPr>
    </w:lvl>
    <w:lvl w:ilvl="1" w:tplc="546663C8">
      <w:start w:val="1"/>
      <w:numFmt w:val="bullet"/>
      <w:lvlText w:val="o"/>
      <w:lvlJc w:val="left"/>
      <w:pPr>
        <w:ind w:left="1440" w:hanging="360"/>
      </w:pPr>
      <w:rPr>
        <w:rFonts w:ascii="Courier New" w:hAnsi="Courier New" w:cs="Courier New" w:hint="default"/>
      </w:rPr>
    </w:lvl>
    <w:lvl w:ilvl="2" w:tplc="5D0E48D0">
      <w:start w:val="1"/>
      <w:numFmt w:val="bullet"/>
      <w:lvlText w:val=""/>
      <w:lvlJc w:val="left"/>
      <w:pPr>
        <w:ind w:left="2160" w:hanging="360"/>
      </w:pPr>
      <w:rPr>
        <w:rFonts w:ascii="Wingdings" w:hAnsi="Wingdings" w:hint="default"/>
      </w:rPr>
    </w:lvl>
    <w:lvl w:ilvl="3" w:tplc="AA32E284">
      <w:start w:val="1"/>
      <w:numFmt w:val="bullet"/>
      <w:lvlText w:val=""/>
      <w:lvlJc w:val="left"/>
      <w:pPr>
        <w:ind w:left="2880" w:hanging="360"/>
      </w:pPr>
      <w:rPr>
        <w:rFonts w:ascii="Symbol" w:hAnsi="Symbol" w:hint="default"/>
      </w:rPr>
    </w:lvl>
    <w:lvl w:ilvl="4" w:tplc="822AF1CC">
      <w:start w:val="1"/>
      <w:numFmt w:val="bullet"/>
      <w:lvlText w:val="o"/>
      <w:lvlJc w:val="left"/>
      <w:pPr>
        <w:ind w:left="3600" w:hanging="360"/>
      </w:pPr>
      <w:rPr>
        <w:rFonts w:ascii="Courier New" w:hAnsi="Courier New" w:cs="Courier New" w:hint="default"/>
      </w:rPr>
    </w:lvl>
    <w:lvl w:ilvl="5" w:tplc="E8824AF2">
      <w:start w:val="1"/>
      <w:numFmt w:val="bullet"/>
      <w:lvlText w:val=""/>
      <w:lvlJc w:val="left"/>
      <w:pPr>
        <w:ind w:left="4320" w:hanging="360"/>
      </w:pPr>
      <w:rPr>
        <w:rFonts w:ascii="Wingdings" w:hAnsi="Wingdings" w:hint="default"/>
      </w:rPr>
    </w:lvl>
    <w:lvl w:ilvl="6" w:tplc="A7B448C2">
      <w:start w:val="1"/>
      <w:numFmt w:val="bullet"/>
      <w:lvlText w:val=""/>
      <w:lvlJc w:val="left"/>
      <w:pPr>
        <w:ind w:left="5040" w:hanging="360"/>
      </w:pPr>
      <w:rPr>
        <w:rFonts w:ascii="Symbol" w:hAnsi="Symbol" w:hint="default"/>
      </w:rPr>
    </w:lvl>
    <w:lvl w:ilvl="7" w:tplc="CBD89F46">
      <w:start w:val="1"/>
      <w:numFmt w:val="bullet"/>
      <w:lvlText w:val="o"/>
      <w:lvlJc w:val="left"/>
      <w:pPr>
        <w:ind w:left="5760" w:hanging="360"/>
      </w:pPr>
      <w:rPr>
        <w:rFonts w:ascii="Courier New" w:hAnsi="Courier New" w:cs="Courier New" w:hint="default"/>
      </w:rPr>
    </w:lvl>
    <w:lvl w:ilvl="8" w:tplc="C992A07C">
      <w:start w:val="1"/>
      <w:numFmt w:val="bullet"/>
      <w:lvlText w:val=""/>
      <w:lvlJc w:val="left"/>
      <w:pPr>
        <w:ind w:left="6480" w:hanging="360"/>
      </w:pPr>
      <w:rPr>
        <w:rFonts w:ascii="Wingdings" w:hAnsi="Wingdings" w:hint="default"/>
      </w:rPr>
    </w:lvl>
  </w:abstractNum>
  <w:abstractNum w:abstractNumId="81" w15:restartNumberingAfterBreak="0">
    <w:nsid w:val="76002D37"/>
    <w:multiLevelType w:val="hybridMultilevel"/>
    <w:tmpl w:val="9B4419E2"/>
    <w:lvl w:ilvl="0" w:tplc="4DECAC6C">
      <w:start w:val="1"/>
      <w:numFmt w:val="bullet"/>
      <w:lvlText w:val="•"/>
      <w:lvlJc w:val="left"/>
      <w:pPr>
        <w:ind w:left="720" w:hanging="360"/>
      </w:pPr>
      <w:rPr>
        <w:rFonts w:ascii="Calibri" w:hAnsi="Calibri" w:hint="default"/>
        <w:b w:val="0"/>
        <w:i w:val="0"/>
        <w:sz w:val="22"/>
      </w:rPr>
    </w:lvl>
    <w:lvl w:ilvl="1" w:tplc="526EDB8A">
      <w:start w:val="1"/>
      <w:numFmt w:val="bullet"/>
      <w:lvlText w:val="o"/>
      <w:lvlJc w:val="left"/>
      <w:pPr>
        <w:ind w:left="1440" w:hanging="360"/>
      </w:pPr>
      <w:rPr>
        <w:rFonts w:ascii="Courier New" w:hAnsi="Courier New" w:cs="Courier New" w:hint="default"/>
      </w:rPr>
    </w:lvl>
    <w:lvl w:ilvl="2" w:tplc="E2FCA06E">
      <w:start w:val="1"/>
      <w:numFmt w:val="bullet"/>
      <w:lvlText w:val=""/>
      <w:lvlJc w:val="left"/>
      <w:pPr>
        <w:ind w:left="2160" w:hanging="360"/>
      </w:pPr>
      <w:rPr>
        <w:rFonts w:ascii="Wingdings" w:hAnsi="Wingdings" w:hint="default"/>
      </w:rPr>
    </w:lvl>
    <w:lvl w:ilvl="3" w:tplc="23503E88">
      <w:start w:val="1"/>
      <w:numFmt w:val="bullet"/>
      <w:lvlText w:val=""/>
      <w:lvlJc w:val="left"/>
      <w:pPr>
        <w:ind w:left="2880" w:hanging="360"/>
      </w:pPr>
      <w:rPr>
        <w:rFonts w:ascii="Symbol" w:hAnsi="Symbol" w:hint="default"/>
      </w:rPr>
    </w:lvl>
    <w:lvl w:ilvl="4" w:tplc="4C966BB0">
      <w:start w:val="1"/>
      <w:numFmt w:val="bullet"/>
      <w:lvlText w:val="o"/>
      <w:lvlJc w:val="left"/>
      <w:pPr>
        <w:ind w:left="3600" w:hanging="360"/>
      </w:pPr>
      <w:rPr>
        <w:rFonts w:ascii="Courier New" w:hAnsi="Courier New" w:cs="Courier New" w:hint="default"/>
      </w:rPr>
    </w:lvl>
    <w:lvl w:ilvl="5" w:tplc="C6C864B0">
      <w:start w:val="1"/>
      <w:numFmt w:val="bullet"/>
      <w:lvlText w:val=""/>
      <w:lvlJc w:val="left"/>
      <w:pPr>
        <w:ind w:left="4320" w:hanging="360"/>
      </w:pPr>
      <w:rPr>
        <w:rFonts w:ascii="Wingdings" w:hAnsi="Wingdings" w:hint="default"/>
      </w:rPr>
    </w:lvl>
    <w:lvl w:ilvl="6" w:tplc="1C58C16C">
      <w:start w:val="1"/>
      <w:numFmt w:val="bullet"/>
      <w:lvlText w:val=""/>
      <w:lvlJc w:val="left"/>
      <w:pPr>
        <w:ind w:left="5040" w:hanging="360"/>
      </w:pPr>
      <w:rPr>
        <w:rFonts w:ascii="Symbol" w:hAnsi="Symbol" w:hint="default"/>
      </w:rPr>
    </w:lvl>
    <w:lvl w:ilvl="7" w:tplc="EAF41F2E">
      <w:start w:val="1"/>
      <w:numFmt w:val="bullet"/>
      <w:lvlText w:val="o"/>
      <w:lvlJc w:val="left"/>
      <w:pPr>
        <w:ind w:left="5760" w:hanging="360"/>
      </w:pPr>
      <w:rPr>
        <w:rFonts w:ascii="Courier New" w:hAnsi="Courier New" w:cs="Courier New" w:hint="default"/>
      </w:rPr>
    </w:lvl>
    <w:lvl w:ilvl="8" w:tplc="B35A1220">
      <w:start w:val="1"/>
      <w:numFmt w:val="bullet"/>
      <w:lvlText w:val=""/>
      <w:lvlJc w:val="left"/>
      <w:pPr>
        <w:ind w:left="6480" w:hanging="360"/>
      </w:pPr>
      <w:rPr>
        <w:rFonts w:ascii="Wingdings" w:hAnsi="Wingdings" w:hint="default"/>
      </w:rPr>
    </w:lvl>
  </w:abstractNum>
  <w:abstractNum w:abstractNumId="82" w15:restartNumberingAfterBreak="0">
    <w:nsid w:val="776A6D98"/>
    <w:multiLevelType w:val="hybridMultilevel"/>
    <w:tmpl w:val="72BC2142"/>
    <w:lvl w:ilvl="0" w:tplc="41C8E9C0">
      <w:start w:val="1"/>
      <w:numFmt w:val="bullet"/>
      <w:lvlText w:val="•"/>
      <w:lvlJc w:val="left"/>
      <w:pPr>
        <w:ind w:left="720" w:hanging="360"/>
      </w:pPr>
      <w:rPr>
        <w:rFonts w:ascii="Calibri" w:hAnsi="Calibri" w:hint="default"/>
        <w:b w:val="0"/>
        <w:i w:val="0"/>
        <w:sz w:val="22"/>
      </w:rPr>
    </w:lvl>
    <w:lvl w:ilvl="1" w:tplc="28D852DA">
      <w:start w:val="1"/>
      <w:numFmt w:val="bullet"/>
      <w:lvlText w:val="o"/>
      <w:lvlJc w:val="left"/>
      <w:pPr>
        <w:ind w:left="1440" w:hanging="360"/>
      </w:pPr>
      <w:rPr>
        <w:rFonts w:ascii="Courier New" w:hAnsi="Courier New" w:cs="Courier New" w:hint="default"/>
      </w:rPr>
    </w:lvl>
    <w:lvl w:ilvl="2" w:tplc="EDBE5A16">
      <w:start w:val="1"/>
      <w:numFmt w:val="bullet"/>
      <w:lvlText w:val=""/>
      <w:lvlJc w:val="left"/>
      <w:pPr>
        <w:ind w:left="2160" w:hanging="360"/>
      </w:pPr>
      <w:rPr>
        <w:rFonts w:ascii="Wingdings" w:hAnsi="Wingdings" w:hint="default"/>
      </w:rPr>
    </w:lvl>
    <w:lvl w:ilvl="3" w:tplc="5008C2F8">
      <w:start w:val="1"/>
      <w:numFmt w:val="bullet"/>
      <w:lvlText w:val=""/>
      <w:lvlJc w:val="left"/>
      <w:pPr>
        <w:ind w:left="2880" w:hanging="360"/>
      </w:pPr>
      <w:rPr>
        <w:rFonts w:ascii="Symbol" w:hAnsi="Symbol" w:hint="default"/>
      </w:rPr>
    </w:lvl>
    <w:lvl w:ilvl="4" w:tplc="29F62DD8">
      <w:start w:val="1"/>
      <w:numFmt w:val="bullet"/>
      <w:lvlText w:val="o"/>
      <w:lvlJc w:val="left"/>
      <w:pPr>
        <w:ind w:left="3600" w:hanging="360"/>
      </w:pPr>
      <w:rPr>
        <w:rFonts w:ascii="Courier New" w:hAnsi="Courier New" w:cs="Courier New" w:hint="default"/>
      </w:rPr>
    </w:lvl>
    <w:lvl w:ilvl="5" w:tplc="3A48398C">
      <w:start w:val="1"/>
      <w:numFmt w:val="bullet"/>
      <w:lvlText w:val=""/>
      <w:lvlJc w:val="left"/>
      <w:pPr>
        <w:ind w:left="4320" w:hanging="360"/>
      </w:pPr>
      <w:rPr>
        <w:rFonts w:ascii="Wingdings" w:hAnsi="Wingdings" w:hint="default"/>
      </w:rPr>
    </w:lvl>
    <w:lvl w:ilvl="6" w:tplc="2D62599C">
      <w:start w:val="1"/>
      <w:numFmt w:val="bullet"/>
      <w:lvlText w:val=""/>
      <w:lvlJc w:val="left"/>
      <w:pPr>
        <w:ind w:left="5040" w:hanging="360"/>
      </w:pPr>
      <w:rPr>
        <w:rFonts w:ascii="Symbol" w:hAnsi="Symbol" w:hint="default"/>
      </w:rPr>
    </w:lvl>
    <w:lvl w:ilvl="7" w:tplc="0EF072C4">
      <w:start w:val="1"/>
      <w:numFmt w:val="bullet"/>
      <w:lvlText w:val="o"/>
      <w:lvlJc w:val="left"/>
      <w:pPr>
        <w:ind w:left="5760" w:hanging="360"/>
      </w:pPr>
      <w:rPr>
        <w:rFonts w:ascii="Courier New" w:hAnsi="Courier New" w:cs="Courier New" w:hint="default"/>
      </w:rPr>
    </w:lvl>
    <w:lvl w:ilvl="8" w:tplc="52EA4960">
      <w:start w:val="1"/>
      <w:numFmt w:val="bullet"/>
      <w:lvlText w:val=""/>
      <w:lvlJc w:val="left"/>
      <w:pPr>
        <w:ind w:left="6480" w:hanging="360"/>
      </w:pPr>
      <w:rPr>
        <w:rFonts w:ascii="Wingdings" w:hAnsi="Wingdings" w:hint="default"/>
      </w:rPr>
    </w:lvl>
  </w:abstractNum>
  <w:abstractNum w:abstractNumId="83" w15:restartNumberingAfterBreak="0">
    <w:nsid w:val="7853595D"/>
    <w:multiLevelType w:val="hybridMultilevel"/>
    <w:tmpl w:val="30FC7DEC"/>
    <w:lvl w:ilvl="0" w:tplc="6226CEB0">
      <w:start w:val="1"/>
      <w:numFmt w:val="bullet"/>
      <w:lvlText w:val="•"/>
      <w:lvlJc w:val="left"/>
      <w:pPr>
        <w:ind w:left="720" w:hanging="360"/>
      </w:pPr>
      <w:rPr>
        <w:rFonts w:ascii="Calibri" w:hAnsi="Calibri" w:hint="default"/>
        <w:b w:val="0"/>
        <w:i w:val="0"/>
        <w:sz w:val="22"/>
      </w:rPr>
    </w:lvl>
    <w:lvl w:ilvl="1" w:tplc="B3403862">
      <w:start w:val="1"/>
      <w:numFmt w:val="bullet"/>
      <w:lvlText w:val="o"/>
      <w:lvlJc w:val="left"/>
      <w:pPr>
        <w:ind w:left="1440" w:hanging="360"/>
      </w:pPr>
      <w:rPr>
        <w:rFonts w:ascii="Courier New" w:hAnsi="Courier New" w:cs="Courier New" w:hint="default"/>
      </w:rPr>
    </w:lvl>
    <w:lvl w:ilvl="2" w:tplc="5D90B056">
      <w:start w:val="1"/>
      <w:numFmt w:val="bullet"/>
      <w:lvlText w:val=""/>
      <w:lvlJc w:val="left"/>
      <w:pPr>
        <w:ind w:left="2160" w:hanging="360"/>
      </w:pPr>
      <w:rPr>
        <w:rFonts w:ascii="Wingdings" w:hAnsi="Wingdings" w:hint="default"/>
      </w:rPr>
    </w:lvl>
    <w:lvl w:ilvl="3" w:tplc="845660B0">
      <w:start w:val="1"/>
      <w:numFmt w:val="bullet"/>
      <w:lvlText w:val=""/>
      <w:lvlJc w:val="left"/>
      <w:pPr>
        <w:ind w:left="2880" w:hanging="360"/>
      </w:pPr>
      <w:rPr>
        <w:rFonts w:ascii="Symbol" w:hAnsi="Symbol" w:hint="default"/>
      </w:rPr>
    </w:lvl>
    <w:lvl w:ilvl="4" w:tplc="943E75C0">
      <w:start w:val="1"/>
      <w:numFmt w:val="bullet"/>
      <w:lvlText w:val="o"/>
      <w:lvlJc w:val="left"/>
      <w:pPr>
        <w:ind w:left="3600" w:hanging="360"/>
      </w:pPr>
      <w:rPr>
        <w:rFonts w:ascii="Courier New" w:hAnsi="Courier New" w:cs="Courier New" w:hint="default"/>
      </w:rPr>
    </w:lvl>
    <w:lvl w:ilvl="5" w:tplc="A7CCBD18">
      <w:start w:val="1"/>
      <w:numFmt w:val="bullet"/>
      <w:lvlText w:val=""/>
      <w:lvlJc w:val="left"/>
      <w:pPr>
        <w:ind w:left="4320" w:hanging="360"/>
      </w:pPr>
      <w:rPr>
        <w:rFonts w:ascii="Wingdings" w:hAnsi="Wingdings" w:hint="default"/>
      </w:rPr>
    </w:lvl>
    <w:lvl w:ilvl="6" w:tplc="F6BE64F4">
      <w:start w:val="1"/>
      <w:numFmt w:val="bullet"/>
      <w:lvlText w:val=""/>
      <w:lvlJc w:val="left"/>
      <w:pPr>
        <w:ind w:left="5040" w:hanging="360"/>
      </w:pPr>
      <w:rPr>
        <w:rFonts w:ascii="Symbol" w:hAnsi="Symbol" w:hint="default"/>
      </w:rPr>
    </w:lvl>
    <w:lvl w:ilvl="7" w:tplc="839EECBE">
      <w:start w:val="1"/>
      <w:numFmt w:val="bullet"/>
      <w:lvlText w:val="o"/>
      <w:lvlJc w:val="left"/>
      <w:pPr>
        <w:ind w:left="5760" w:hanging="360"/>
      </w:pPr>
      <w:rPr>
        <w:rFonts w:ascii="Courier New" w:hAnsi="Courier New" w:cs="Courier New" w:hint="default"/>
      </w:rPr>
    </w:lvl>
    <w:lvl w:ilvl="8" w:tplc="CD724E56">
      <w:start w:val="1"/>
      <w:numFmt w:val="bullet"/>
      <w:lvlText w:val=""/>
      <w:lvlJc w:val="left"/>
      <w:pPr>
        <w:ind w:left="6480" w:hanging="360"/>
      </w:pPr>
      <w:rPr>
        <w:rFonts w:ascii="Wingdings" w:hAnsi="Wingdings" w:hint="default"/>
      </w:rPr>
    </w:lvl>
  </w:abstractNum>
  <w:abstractNum w:abstractNumId="84" w15:restartNumberingAfterBreak="0">
    <w:nsid w:val="78B874B6"/>
    <w:multiLevelType w:val="hybridMultilevel"/>
    <w:tmpl w:val="8AA20C22"/>
    <w:lvl w:ilvl="0" w:tplc="B30A26FE">
      <w:start w:val="1"/>
      <w:numFmt w:val="bullet"/>
      <w:lvlText w:val="•"/>
      <w:lvlJc w:val="left"/>
      <w:pPr>
        <w:ind w:left="720" w:hanging="360"/>
      </w:pPr>
      <w:rPr>
        <w:rFonts w:ascii="Calibri" w:hAnsi="Calibri" w:hint="default"/>
        <w:b w:val="0"/>
        <w:i w:val="0"/>
        <w:sz w:val="22"/>
      </w:rPr>
    </w:lvl>
    <w:lvl w:ilvl="1" w:tplc="4C467D06">
      <w:start w:val="1"/>
      <w:numFmt w:val="bullet"/>
      <w:lvlText w:val="o"/>
      <w:lvlJc w:val="left"/>
      <w:pPr>
        <w:ind w:left="1440" w:hanging="360"/>
      </w:pPr>
      <w:rPr>
        <w:rFonts w:ascii="Courier New" w:hAnsi="Courier New" w:cs="Courier New" w:hint="default"/>
      </w:rPr>
    </w:lvl>
    <w:lvl w:ilvl="2" w:tplc="E2B6F934">
      <w:start w:val="1"/>
      <w:numFmt w:val="bullet"/>
      <w:lvlText w:val=""/>
      <w:lvlJc w:val="left"/>
      <w:pPr>
        <w:ind w:left="2160" w:hanging="360"/>
      </w:pPr>
      <w:rPr>
        <w:rFonts w:ascii="Wingdings" w:hAnsi="Wingdings" w:hint="default"/>
      </w:rPr>
    </w:lvl>
    <w:lvl w:ilvl="3" w:tplc="C914A47E">
      <w:start w:val="1"/>
      <w:numFmt w:val="bullet"/>
      <w:lvlText w:val=""/>
      <w:lvlJc w:val="left"/>
      <w:pPr>
        <w:ind w:left="2880" w:hanging="360"/>
      </w:pPr>
      <w:rPr>
        <w:rFonts w:ascii="Symbol" w:hAnsi="Symbol" w:hint="default"/>
      </w:rPr>
    </w:lvl>
    <w:lvl w:ilvl="4" w:tplc="E69A4140">
      <w:start w:val="1"/>
      <w:numFmt w:val="bullet"/>
      <w:lvlText w:val="o"/>
      <w:lvlJc w:val="left"/>
      <w:pPr>
        <w:ind w:left="3600" w:hanging="360"/>
      </w:pPr>
      <w:rPr>
        <w:rFonts w:ascii="Courier New" w:hAnsi="Courier New" w:cs="Courier New" w:hint="default"/>
      </w:rPr>
    </w:lvl>
    <w:lvl w:ilvl="5" w:tplc="95A68E90">
      <w:start w:val="1"/>
      <w:numFmt w:val="bullet"/>
      <w:lvlText w:val=""/>
      <w:lvlJc w:val="left"/>
      <w:pPr>
        <w:ind w:left="4320" w:hanging="360"/>
      </w:pPr>
      <w:rPr>
        <w:rFonts w:ascii="Wingdings" w:hAnsi="Wingdings" w:hint="default"/>
      </w:rPr>
    </w:lvl>
    <w:lvl w:ilvl="6" w:tplc="CE94C466">
      <w:start w:val="1"/>
      <w:numFmt w:val="bullet"/>
      <w:lvlText w:val=""/>
      <w:lvlJc w:val="left"/>
      <w:pPr>
        <w:ind w:left="5040" w:hanging="360"/>
      </w:pPr>
      <w:rPr>
        <w:rFonts w:ascii="Symbol" w:hAnsi="Symbol" w:hint="default"/>
      </w:rPr>
    </w:lvl>
    <w:lvl w:ilvl="7" w:tplc="12049378">
      <w:start w:val="1"/>
      <w:numFmt w:val="bullet"/>
      <w:lvlText w:val="o"/>
      <w:lvlJc w:val="left"/>
      <w:pPr>
        <w:ind w:left="5760" w:hanging="360"/>
      </w:pPr>
      <w:rPr>
        <w:rFonts w:ascii="Courier New" w:hAnsi="Courier New" w:cs="Courier New" w:hint="default"/>
      </w:rPr>
    </w:lvl>
    <w:lvl w:ilvl="8" w:tplc="E7508ACA">
      <w:start w:val="1"/>
      <w:numFmt w:val="bullet"/>
      <w:lvlText w:val=""/>
      <w:lvlJc w:val="left"/>
      <w:pPr>
        <w:ind w:left="6480" w:hanging="360"/>
      </w:pPr>
      <w:rPr>
        <w:rFonts w:ascii="Wingdings" w:hAnsi="Wingdings" w:hint="default"/>
      </w:rPr>
    </w:lvl>
  </w:abstractNum>
  <w:abstractNum w:abstractNumId="85" w15:restartNumberingAfterBreak="0">
    <w:nsid w:val="7BE8598C"/>
    <w:multiLevelType w:val="hybridMultilevel"/>
    <w:tmpl w:val="47D40052"/>
    <w:lvl w:ilvl="0" w:tplc="87DC6A62">
      <w:start w:val="1"/>
      <w:numFmt w:val="bullet"/>
      <w:lvlText w:val=""/>
      <w:lvlJc w:val="left"/>
      <w:pPr>
        <w:ind w:left="720" w:hanging="360"/>
      </w:pPr>
      <w:rPr>
        <w:rFonts w:ascii="Symbol" w:hAnsi="Symbol" w:hint="default"/>
      </w:rPr>
    </w:lvl>
    <w:lvl w:ilvl="1" w:tplc="B3703F7A">
      <w:start w:val="1"/>
      <w:numFmt w:val="bullet"/>
      <w:lvlText w:val="o"/>
      <w:lvlJc w:val="left"/>
      <w:pPr>
        <w:ind w:left="1440" w:hanging="360"/>
      </w:pPr>
      <w:rPr>
        <w:rFonts w:ascii="Courier New" w:hAnsi="Courier New" w:cs="Courier New" w:hint="default"/>
      </w:rPr>
    </w:lvl>
    <w:lvl w:ilvl="2" w:tplc="75DE3778">
      <w:start w:val="1"/>
      <w:numFmt w:val="bullet"/>
      <w:lvlText w:val=""/>
      <w:lvlJc w:val="left"/>
      <w:pPr>
        <w:ind w:left="2160" w:hanging="360"/>
      </w:pPr>
      <w:rPr>
        <w:rFonts w:ascii="Wingdings" w:hAnsi="Wingdings" w:hint="default"/>
      </w:rPr>
    </w:lvl>
    <w:lvl w:ilvl="3" w:tplc="6D1C3D28">
      <w:start w:val="1"/>
      <w:numFmt w:val="bullet"/>
      <w:lvlText w:val=""/>
      <w:lvlJc w:val="left"/>
      <w:pPr>
        <w:ind w:left="2880" w:hanging="360"/>
      </w:pPr>
      <w:rPr>
        <w:rFonts w:ascii="Symbol" w:hAnsi="Symbol" w:hint="default"/>
      </w:rPr>
    </w:lvl>
    <w:lvl w:ilvl="4" w:tplc="922082DA">
      <w:start w:val="1"/>
      <w:numFmt w:val="bullet"/>
      <w:lvlText w:val="o"/>
      <w:lvlJc w:val="left"/>
      <w:pPr>
        <w:ind w:left="3600" w:hanging="360"/>
      </w:pPr>
      <w:rPr>
        <w:rFonts w:ascii="Courier New" w:hAnsi="Courier New" w:cs="Courier New" w:hint="default"/>
      </w:rPr>
    </w:lvl>
    <w:lvl w:ilvl="5" w:tplc="65C0D9D4">
      <w:start w:val="1"/>
      <w:numFmt w:val="bullet"/>
      <w:lvlText w:val=""/>
      <w:lvlJc w:val="left"/>
      <w:pPr>
        <w:ind w:left="4320" w:hanging="360"/>
      </w:pPr>
      <w:rPr>
        <w:rFonts w:ascii="Wingdings" w:hAnsi="Wingdings" w:hint="default"/>
      </w:rPr>
    </w:lvl>
    <w:lvl w:ilvl="6" w:tplc="4C10695C">
      <w:start w:val="1"/>
      <w:numFmt w:val="bullet"/>
      <w:lvlText w:val=""/>
      <w:lvlJc w:val="left"/>
      <w:pPr>
        <w:ind w:left="5040" w:hanging="360"/>
      </w:pPr>
      <w:rPr>
        <w:rFonts w:ascii="Symbol" w:hAnsi="Symbol" w:hint="default"/>
      </w:rPr>
    </w:lvl>
    <w:lvl w:ilvl="7" w:tplc="77C41692">
      <w:start w:val="1"/>
      <w:numFmt w:val="bullet"/>
      <w:lvlText w:val="o"/>
      <w:lvlJc w:val="left"/>
      <w:pPr>
        <w:ind w:left="5760" w:hanging="360"/>
      </w:pPr>
      <w:rPr>
        <w:rFonts w:ascii="Courier New" w:hAnsi="Courier New" w:cs="Courier New" w:hint="default"/>
      </w:rPr>
    </w:lvl>
    <w:lvl w:ilvl="8" w:tplc="22BA929A">
      <w:start w:val="1"/>
      <w:numFmt w:val="bullet"/>
      <w:lvlText w:val=""/>
      <w:lvlJc w:val="left"/>
      <w:pPr>
        <w:ind w:left="6480" w:hanging="360"/>
      </w:pPr>
      <w:rPr>
        <w:rFonts w:ascii="Wingdings" w:hAnsi="Wingdings" w:hint="default"/>
      </w:rPr>
    </w:lvl>
  </w:abstractNum>
  <w:num w:numId="1">
    <w:abstractNumId w:val="20"/>
  </w:num>
  <w:num w:numId="2">
    <w:abstractNumId w:val="76"/>
  </w:num>
  <w:num w:numId="3">
    <w:abstractNumId w:val="38"/>
  </w:num>
  <w:num w:numId="4">
    <w:abstractNumId w:val="10"/>
  </w:num>
  <w:num w:numId="5">
    <w:abstractNumId w:val="17"/>
  </w:num>
  <w:num w:numId="6">
    <w:abstractNumId w:val="18"/>
  </w:num>
  <w:num w:numId="7">
    <w:abstractNumId w:val="35"/>
  </w:num>
  <w:num w:numId="8">
    <w:abstractNumId w:val="66"/>
  </w:num>
  <w:num w:numId="9">
    <w:abstractNumId w:val="36"/>
  </w:num>
  <w:num w:numId="10">
    <w:abstractNumId w:val="28"/>
  </w:num>
  <w:num w:numId="11">
    <w:abstractNumId w:val="1"/>
  </w:num>
  <w:num w:numId="12">
    <w:abstractNumId w:val="6"/>
  </w:num>
  <w:num w:numId="13">
    <w:abstractNumId w:val="54"/>
  </w:num>
  <w:num w:numId="14">
    <w:abstractNumId w:val="78"/>
  </w:num>
  <w:num w:numId="15">
    <w:abstractNumId w:val="84"/>
  </w:num>
  <w:num w:numId="16">
    <w:abstractNumId w:val="11"/>
  </w:num>
  <w:num w:numId="17">
    <w:abstractNumId w:val="34"/>
  </w:num>
  <w:num w:numId="18">
    <w:abstractNumId w:val="5"/>
  </w:num>
  <w:num w:numId="19">
    <w:abstractNumId w:val="9"/>
  </w:num>
  <w:num w:numId="20">
    <w:abstractNumId w:val="73"/>
  </w:num>
  <w:num w:numId="21">
    <w:abstractNumId w:val="7"/>
  </w:num>
  <w:num w:numId="22">
    <w:abstractNumId w:val="68"/>
  </w:num>
  <w:num w:numId="23">
    <w:abstractNumId w:val="79"/>
  </w:num>
  <w:num w:numId="24">
    <w:abstractNumId w:val="56"/>
  </w:num>
  <w:num w:numId="25">
    <w:abstractNumId w:val="16"/>
  </w:num>
  <w:num w:numId="26">
    <w:abstractNumId w:val="39"/>
  </w:num>
  <w:num w:numId="27">
    <w:abstractNumId w:val="43"/>
  </w:num>
  <w:num w:numId="28">
    <w:abstractNumId w:val="65"/>
  </w:num>
  <w:num w:numId="29">
    <w:abstractNumId w:val="67"/>
  </w:num>
  <w:num w:numId="30">
    <w:abstractNumId w:val="47"/>
  </w:num>
  <w:num w:numId="31">
    <w:abstractNumId w:val="26"/>
  </w:num>
  <w:num w:numId="32">
    <w:abstractNumId w:val="61"/>
  </w:num>
  <w:num w:numId="33">
    <w:abstractNumId w:val="70"/>
  </w:num>
  <w:num w:numId="34">
    <w:abstractNumId w:val="37"/>
  </w:num>
  <w:num w:numId="35">
    <w:abstractNumId w:val="49"/>
  </w:num>
  <w:num w:numId="36">
    <w:abstractNumId w:val="59"/>
  </w:num>
  <w:num w:numId="37">
    <w:abstractNumId w:val="41"/>
  </w:num>
  <w:num w:numId="38">
    <w:abstractNumId w:val="45"/>
  </w:num>
  <w:num w:numId="39">
    <w:abstractNumId w:val="52"/>
  </w:num>
  <w:num w:numId="40">
    <w:abstractNumId w:val="22"/>
  </w:num>
  <w:num w:numId="41">
    <w:abstractNumId w:val="13"/>
  </w:num>
  <w:num w:numId="42">
    <w:abstractNumId w:val="69"/>
  </w:num>
  <w:num w:numId="43">
    <w:abstractNumId w:val="33"/>
  </w:num>
  <w:num w:numId="44">
    <w:abstractNumId w:val="3"/>
  </w:num>
  <w:num w:numId="45">
    <w:abstractNumId w:val="50"/>
  </w:num>
  <w:num w:numId="46">
    <w:abstractNumId w:val="25"/>
  </w:num>
  <w:num w:numId="47">
    <w:abstractNumId w:val="51"/>
  </w:num>
  <w:num w:numId="48">
    <w:abstractNumId w:val="14"/>
  </w:num>
  <w:num w:numId="49">
    <w:abstractNumId w:val="32"/>
  </w:num>
  <w:num w:numId="50">
    <w:abstractNumId w:val="81"/>
  </w:num>
  <w:num w:numId="51">
    <w:abstractNumId w:val="55"/>
  </w:num>
  <w:num w:numId="52">
    <w:abstractNumId w:val="42"/>
  </w:num>
  <w:num w:numId="53">
    <w:abstractNumId w:val="29"/>
  </w:num>
  <w:num w:numId="54">
    <w:abstractNumId w:val="48"/>
  </w:num>
  <w:num w:numId="55">
    <w:abstractNumId w:val="27"/>
  </w:num>
  <w:num w:numId="56">
    <w:abstractNumId w:val="12"/>
  </w:num>
  <w:num w:numId="57">
    <w:abstractNumId w:val="40"/>
  </w:num>
  <w:num w:numId="58">
    <w:abstractNumId w:val="44"/>
  </w:num>
  <w:num w:numId="59">
    <w:abstractNumId w:val="71"/>
  </w:num>
  <w:num w:numId="60">
    <w:abstractNumId w:val="24"/>
  </w:num>
  <w:num w:numId="61">
    <w:abstractNumId w:val="82"/>
  </w:num>
  <w:num w:numId="62">
    <w:abstractNumId w:val="63"/>
  </w:num>
  <w:num w:numId="63">
    <w:abstractNumId w:val="58"/>
  </w:num>
  <w:num w:numId="64">
    <w:abstractNumId w:val="15"/>
  </w:num>
  <w:num w:numId="65">
    <w:abstractNumId w:val="31"/>
  </w:num>
  <w:num w:numId="66">
    <w:abstractNumId w:val="72"/>
  </w:num>
  <w:num w:numId="67">
    <w:abstractNumId w:val="23"/>
  </w:num>
  <w:num w:numId="68">
    <w:abstractNumId w:val="8"/>
  </w:num>
  <w:num w:numId="69">
    <w:abstractNumId w:val="19"/>
  </w:num>
  <w:num w:numId="70">
    <w:abstractNumId w:val="83"/>
  </w:num>
  <w:num w:numId="71">
    <w:abstractNumId w:val="30"/>
  </w:num>
  <w:num w:numId="72">
    <w:abstractNumId w:val="4"/>
  </w:num>
  <w:num w:numId="73">
    <w:abstractNumId w:val="57"/>
  </w:num>
  <w:num w:numId="74">
    <w:abstractNumId w:val="74"/>
  </w:num>
  <w:num w:numId="75">
    <w:abstractNumId w:val="0"/>
  </w:num>
  <w:num w:numId="76">
    <w:abstractNumId w:val="77"/>
  </w:num>
  <w:num w:numId="77">
    <w:abstractNumId w:val="60"/>
  </w:num>
  <w:num w:numId="78">
    <w:abstractNumId w:val="64"/>
  </w:num>
  <w:num w:numId="79">
    <w:abstractNumId w:val="21"/>
  </w:num>
  <w:num w:numId="80">
    <w:abstractNumId w:val="80"/>
  </w:num>
  <w:num w:numId="81">
    <w:abstractNumId w:val="85"/>
  </w:num>
  <w:num w:numId="82">
    <w:abstractNumId w:val="46"/>
  </w:num>
  <w:num w:numId="83">
    <w:abstractNumId w:val="62"/>
  </w:num>
  <w:num w:numId="84">
    <w:abstractNumId w:val="75"/>
  </w:num>
  <w:num w:numId="85">
    <w:abstractNumId w:val="2"/>
  </w:num>
  <w:num w:numId="86">
    <w:abstractNumId w:val="5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A93"/>
    <w:rsid w:val="00006AA2"/>
    <w:rsid w:val="00010426"/>
    <w:rsid w:val="00010D43"/>
    <w:rsid w:val="00010E99"/>
    <w:rsid w:val="00020C35"/>
    <w:rsid w:val="00022DD6"/>
    <w:rsid w:val="00023BC3"/>
    <w:rsid w:val="00024392"/>
    <w:rsid w:val="00024989"/>
    <w:rsid w:val="00036ECB"/>
    <w:rsid w:val="000464C7"/>
    <w:rsid w:val="0005019E"/>
    <w:rsid w:val="000517F0"/>
    <w:rsid w:val="00052088"/>
    <w:rsid w:val="00060992"/>
    <w:rsid w:val="00061786"/>
    <w:rsid w:val="00064004"/>
    <w:rsid w:val="0007016A"/>
    <w:rsid w:val="000703AF"/>
    <w:rsid w:val="00073D1D"/>
    <w:rsid w:val="00077CC3"/>
    <w:rsid w:val="000829C7"/>
    <w:rsid w:val="00094609"/>
    <w:rsid w:val="00095E10"/>
    <w:rsid w:val="00096906"/>
    <w:rsid w:val="000A5D59"/>
    <w:rsid w:val="000B46E7"/>
    <w:rsid w:val="000B4934"/>
    <w:rsid w:val="000C2C9A"/>
    <w:rsid w:val="000C2E9C"/>
    <w:rsid w:val="000C668F"/>
    <w:rsid w:val="000C6795"/>
    <w:rsid w:val="000D6FCB"/>
    <w:rsid w:val="000E771A"/>
    <w:rsid w:val="000F2A95"/>
    <w:rsid w:val="000F5374"/>
    <w:rsid w:val="000F5554"/>
    <w:rsid w:val="000F7900"/>
    <w:rsid w:val="0010094F"/>
    <w:rsid w:val="00103630"/>
    <w:rsid w:val="00107DAF"/>
    <w:rsid w:val="00111FED"/>
    <w:rsid w:val="00112B0D"/>
    <w:rsid w:val="00122C40"/>
    <w:rsid w:val="00124CB6"/>
    <w:rsid w:val="00127D8C"/>
    <w:rsid w:val="001320B0"/>
    <w:rsid w:val="001323D0"/>
    <w:rsid w:val="00135DD0"/>
    <w:rsid w:val="001367B3"/>
    <w:rsid w:val="00140D59"/>
    <w:rsid w:val="00142224"/>
    <w:rsid w:val="00142A10"/>
    <w:rsid w:val="0014604B"/>
    <w:rsid w:val="00146AEB"/>
    <w:rsid w:val="00162E24"/>
    <w:rsid w:val="0016799F"/>
    <w:rsid w:val="00173BBF"/>
    <w:rsid w:val="00193A3F"/>
    <w:rsid w:val="00195439"/>
    <w:rsid w:val="001A4008"/>
    <w:rsid w:val="001A48E4"/>
    <w:rsid w:val="001A5D3F"/>
    <w:rsid w:val="001A74D3"/>
    <w:rsid w:val="001B3376"/>
    <w:rsid w:val="001B692F"/>
    <w:rsid w:val="001C0429"/>
    <w:rsid w:val="001C1849"/>
    <w:rsid w:val="001C51F3"/>
    <w:rsid w:val="001C6A8F"/>
    <w:rsid w:val="001D0377"/>
    <w:rsid w:val="001D3DDF"/>
    <w:rsid w:val="001D4792"/>
    <w:rsid w:val="001D7807"/>
    <w:rsid w:val="001E40CE"/>
    <w:rsid w:val="001E5EFB"/>
    <w:rsid w:val="001F4285"/>
    <w:rsid w:val="001F5CFE"/>
    <w:rsid w:val="00204344"/>
    <w:rsid w:val="002128E5"/>
    <w:rsid w:val="0022095A"/>
    <w:rsid w:val="00225860"/>
    <w:rsid w:val="002340F8"/>
    <w:rsid w:val="002409E5"/>
    <w:rsid w:val="002413E3"/>
    <w:rsid w:val="00241E02"/>
    <w:rsid w:val="00247D20"/>
    <w:rsid w:val="00252917"/>
    <w:rsid w:val="00253D34"/>
    <w:rsid w:val="00256EC7"/>
    <w:rsid w:val="002606AA"/>
    <w:rsid w:val="002664F4"/>
    <w:rsid w:val="00270818"/>
    <w:rsid w:val="002723EB"/>
    <w:rsid w:val="002725E5"/>
    <w:rsid w:val="002837DA"/>
    <w:rsid w:val="00286AFC"/>
    <w:rsid w:val="0029043A"/>
    <w:rsid w:val="0029049B"/>
    <w:rsid w:val="002A48C9"/>
    <w:rsid w:val="002B1B53"/>
    <w:rsid w:val="002B3BC1"/>
    <w:rsid w:val="002B43A4"/>
    <w:rsid w:val="002B5FC1"/>
    <w:rsid w:val="002B625C"/>
    <w:rsid w:val="002C10C4"/>
    <w:rsid w:val="002C2075"/>
    <w:rsid w:val="002D2E0A"/>
    <w:rsid w:val="002D69C4"/>
    <w:rsid w:val="002D7110"/>
    <w:rsid w:val="002E16A0"/>
    <w:rsid w:val="002E6471"/>
    <w:rsid w:val="002F0410"/>
    <w:rsid w:val="00315AC1"/>
    <w:rsid w:val="003229E7"/>
    <w:rsid w:val="0033053C"/>
    <w:rsid w:val="00332B66"/>
    <w:rsid w:val="003338D1"/>
    <w:rsid w:val="00336B59"/>
    <w:rsid w:val="003449A6"/>
    <w:rsid w:val="00345739"/>
    <w:rsid w:val="00351624"/>
    <w:rsid w:val="003567BF"/>
    <w:rsid w:val="003617DF"/>
    <w:rsid w:val="00363F7B"/>
    <w:rsid w:val="00365078"/>
    <w:rsid w:val="00367451"/>
    <w:rsid w:val="00371269"/>
    <w:rsid w:val="0037743E"/>
    <w:rsid w:val="00380CA9"/>
    <w:rsid w:val="003810DE"/>
    <w:rsid w:val="00383702"/>
    <w:rsid w:val="00392533"/>
    <w:rsid w:val="003A104C"/>
    <w:rsid w:val="003A3F1B"/>
    <w:rsid w:val="003A606A"/>
    <w:rsid w:val="003A6B35"/>
    <w:rsid w:val="003A7DC8"/>
    <w:rsid w:val="003B2515"/>
    <w:rsid w:val="003B2CAD"/>
    <w:rsid w:val="003B4BD7"/>
    <w:rsid w:val="003D4BC1"/>
    <w:rsid w:val="003D642B"/>
    <w:rsid w:val="003D713A"/>
    <w:rsid w:val="003E4E4A"/>
    <w:rsid w:val="003E4E8F"/>
    <w:rsid w:val="003E7C8C"/>
    <w:rsid w:val="003F0EC0"/>
    <w:rsid w:val="003F1557"/>
    <w:rsid w:val="003F2247"/>
    <w:rsid w:val="004010A3"/>
    <w:rsid w:val="00402EE1"/>
    <w:rsid w:val="00407CE0"/>
    <w:rsid w:val="00414C24"/>
    <w:rsid w:val="0041547A"/>
    <w:rsid w:val="004207E3"/>
    <w:rsid w:val="00421AA7"/>
    <w:rsid w:val="004308A6"/>
    <w:rsid w:val="00430F83"/>
    <w:rsid w:val="004328E1"/>
    <w:rsid w:val="00435C62"/>
    <w:rsid w:val="004434C8"/>
    <w:rsid w:val="004533C1"/>
    <w:rsid w:val="0046571F"/>
    <w:rsid w:val="004703EA"/>
    <w:rsid w:val="0047205B"/>
    <w:rsid w:val="00474596"/>
    <w:rsid w:val="004759C5"/>
    <w:rsid w:val="00476A13"/>
    <w:rsid w:val="00476F3F"/>
    <w:rsid w:val="00477129"/>
    <w:rsid w:val="00480325"/>
    <w:rsid w:val="0048196C"/>
    <w:rsid w:val="00481971"/>
    <w:rsid w:val="00487476"/>
    <w:rsid w:val="0048799C"/>
    <w:rsid w:val="004909E9"/>
    <w:rsid w:val="00492484"/>
    <w:rsid w:val="00495FC6"/>
    <w:rsid w:val="004A5CF0"/>
    <w:rsid w:val="004B17FE"/>
    <w:rsid w:val="004B445A"/>
    <w:rsid w:val="004B5087"/>
    <w:rsid w:val="004B5FE7"/>
    <w:rsid w:val="004C3B41"/>
    <w:rsid w:val="004C5636"/>
    <w:rsid w:val="004C659E"/>
    <w:rsid w:val="004C7797"/>
    <w:rsid w:val="004D5D43"/>
    <w:rsid w:val="004F3B1B"/>
    <w:rsid w:val="004F43C3"/>
    <w:rsid w:val="00500AFE"/>
    <w:rsid w:val="00500C77"/>
    <w:rsid w:val="00500F34"/>
    <w:rsid w:val="00511BD2"/>
    <w:rsid w:val="00515372"/>
    <w:rsid w:val="00523C50"/>
    <w:rsid w:val="005301A7"/>
    <w:rsid w:val="00534C89"/>
    <w:rsid w:val="00535D01"/>
    <w:rsid w:val="00536CCA"/>
    <w:rsid w:val="00536DED"/>
    <w:rsid w:val="00540EA0"/>
    <w:rsid w:val="005443A9"/>
    <w:rsid w:val="00544FAD"/>
    <w:rsid w:val="00555043"/>
    <w:rsid w:val="00565087"/>
    <w:rsid w:val="00565E28"/>
    <w:rsid w:val="00566C24"/>
    <w:rsid w:val="00567E71"/>
    <w:rsid w:val="00572747"/>
    <w:rsid w:val="0057705E"/>
    <w:rsid w:val="00586DE7"/>
    <w:rsid w:val="0058733C"/>
    <w:rsid w:val="005941DA"/>
    <w:rsid w:val="00594D21"/>
    <w:rsid w:val="005A09E7"/>
    <w:rsid w:val="005A32E2"/>
    <w:rsid w:val="005A4982"/>
    <w:rsid w:val="005B257B"/>
    <w:rsid w:val="005B355A"/>
    <w:rsid w:val="005B3EE5"/>
    <w:rsid w:val="005B6EC0"/>
    <w:rsid w:val="005C6B5E"/>
    <w:rsid w:val="005D2CB6"/>
    <w:rsid w:val="005D3FE2"/>
    <w:rsid w:val="005D4822"/>
    <w:rsid w:val="005D4D97"/>
    <w:rsid w:val="005D7F58"/>
    <w:rsid w:val="005E11C3"/>
    <w:rsid w:val="005E62A2"/>
    <w:rsid w:val="005E70D9"/>
    <w:rsid w:val="005F1F72"/>
    <w:rsid w:val="005F4074"/>
    <w:rsid w:val="005F5EAC"/>
    <w:rsid w:val="006064C3"/>
    <w:rsid w:val="00612665"/>
    <w:rsid w:val="00615527"/>
    <w:rsid w:val="0061628D"/>
    <w:rsid w:val="00616F44"/>
    <w:rsid w:val="006249D1"/>
    <w:rsid w:val="00630D2B"/>
    <w:rsid w:val="006316D3"/>
    <w:rsid w:val="006328C7"/>
    <w:rsid w:val="006347C0"/>
    <w:rsid w:val="00636D99"/>
    <w:rsid w:val="006375AA"/>
    <w:rsid w:val="00641868"/>
    <w:rsid w:val="006423FC"/>
    <w:rsid w:val="00646C4D"/>
    <w:rsid w:val="0065066D"/>
    <w:rsid w:val="006542E1"/>
    <w:rsid w:val="00654E3B"/>
    <w:rsid w:val="00662E12"/>
    <w:rsid w:val="00666651"/>
    <w:rsid w:val="0066738E"/>
    <w:rsid w:val="00671FB0"/>
    <w:rsid w:val="00674DCC"/>
    <w:rsid w:val="006768D0"/>
    <w:rsid w:val="006774C8"/>
    <w:rsid w:val="00686AFF"/>
    <w:rsid w:val="006957CB"/>
    <w:rsid w:val="00697D3E"/>
    <w:rsid w:val="006B0525"/>
    <w:rsid w:val="006B3F3B"/>
    <w:rsid w:val="006C09E4"/>
    <w:rsid w:val="006C1489"/>
    <w:rsid w:val="006C44E2"/>
    <w:rsid w:val="006C62B1"/>
    <w:rsid w:val="006C7329"/>
    <w:rsid w:val="006D0890"/>
    <w:rsid w:val="006D0D7F"/>
    <w:rsid w:val="006D1000"/>
    <w:rsid w:val="006D11DD"/>
    <w:rsid w:val="006D512D"/>
    <w:rsid w:val="006D58F4"/>
    <w:rsid w:val="006D7577"/>
    <w:rsid w:val="006E47A5"/>
    <w:rsid w:val="006E7EAD"/>
    <w:rsid w:val="006F1C3F"/>
    <w:rsid w:val="006F522B"/>
    <w:rsid w:val="006F55AE"/>
    <w:rsid w:val="006F603D"/>
    <w:rsid w:val="006F7661"/>
    <w:rsid w:val="00701038"/>
    <w:rsid w:val="00702AD8"/>
    <w:rsid w:val="0071178B"/>
    <w:rsid w:val="00714680"/>
    <w:rsid w:val="00714741"/>
    <w:rsid w:val="00715FD3"/>
    <w:rsid w:val="00724E93"/>
    <w:rsid w:val="0072615A"/>
    <w:rsid w:val="00726324"/>
    <w:rsid w:val="00737AFA"/>
    <w:rsid w:val="00743E58"/>
    <w:rsid w:val="0075068E"/>
    <w:rsid w:val="00755607"/>
    <w:rsid w:val="00756CA8"/>
    <w:rsid w:val="00757219"/>
    <w:rsid w:val="0076137C"/>
    <w:rsid w:val="00775490"/>
    <w:rsid w:val="00777EC2"/>
    <w:rsid w:val="00781BDB"/>
    <w:rsid w:val="007854AC"/>
    <w:rsid w:val="007857C2"/>
    <w:rsid w:val="00786EA7"/>
    <w:rsid w:val="00792758"/>
    <w:rsid w:val="00794618"/>
    <w:rsid w:val="0079744F"/>
    <w:rsid w:val="007A4D80"/>
    <w:rsid w:val="007B2538"/>
    <w:rsid w:val="007B5692"/>
    <w:rsid w:val="007B7EF1"/>
    <w:rsid w:val="007C1C68"/>
    <w:rsid w:val="007D4A93"/>
    <w:rsid w:val="007D4FCC"/>
    <w:rsid w:val="007D716D"/>
    <w:rsid w:val="007E0AD0"/>
    <w:rsid w:val="007E2370"/>
    <w:rsid w:val="007F0600"/>
    <w:rsid w:val="007F238F"/>
    <w:rsid w:val="007F42B8"/>
    <w:rsid w:val="0080064F"/>
    <w:rsid w:val="00801DB0"/>
    <w:rsid w:val="008061C6"/>
    <w:rsid w:val="00807983"/>
    <w:rsid w:val="0081293A"/>
    <w:rsid w:val="00812C4B"/>
    <w:rsid w:val="0081442D"/>
    <w:rsid w:val="008153C1"/>
    <w:rsid w:val="008165CF"/>
    <w:rsid w:val="00827D0A"/>
    <w:rsid w:val="008300DC"/>
    <w:rsid w:val="00832EE3"/>
    <w:rsid w:val="008467D5"/>
    <w:rsid w:val="00847326"/>
    <w:rsid w:val="00863CF6"/>
    <w:rsid w:val="00867971"/>
    <w:rsid w:val="00875F9C"/>
    <w:rsid w:val="008838A8"/>
    <w:rsid w:val="008A0AA8"/>
    <w:rsid w:val="008A15FF"/>
    <w:rsid w:val="008A3C52"/>
    <w:rsid w:val="008B0313"/>
    <w:rsid w:val="008B4FE1"/>
    <w:rsid w:val="008B6CF6"/>
    <w:rsid w:val="008C6396"/>
    <w:rsid w:val="008C67A5"/>
    <w:rsid w:val="008C7C37"/>
    <w:rsid w:val="008D05DD"/>
    <w:rsid w:val="008D071F"/>
    <w:rsid w:val="008D2392"/>
    <w:rsid w:val="008D54E3"/>
    <w:rsid w:val="008D7D1F"/>
    <w:rsid w:val="008E08A9"/>
    <w:rsid w:val="008E2244"/>
    <w:rsid w:val="008E3717"/>
    <w:rsid w:val="008E6808"/>
    <w:rsid w:val="008F5195"/>
    <w:rsid w:val="008F7C47"/>
    <w:rsid w:val="00903B20"/>
    <w:rsid w:val="009059EA"/>
    <w:rsid w:val="00907BA1"/>
    <w:rsid w:val="00910E0C"/>
    <w:rsid w:val="00911A49"/>
    <w:rsid w:val="00913819"/>
    <w:rsid w:val="009160C6"/>
    <w:rsid w:val="00931F22"/>
    <w:rsid w:val="00944360"/>
    <w:rsid w:val="00947B9F"/>
    <w:rsid w:val="00952A53"/>
    <w:rsid w:val="00953BED"/>
    <w:rsid w:val="009600FB"/>
    <w:rsid w:val="00966DD3"/>
    <w:rsid w:val="009711C3"/>
    <w:rsid w:val="0097190B"/>
    <w:rsid w:val="00972BC4"/>
    <w:rsid w:val="009823B2"/>
    <w:rsid w:val="0098287C"/>
    <w:rsid w:val="00982D90"/>
    <w:rsid w:val="0099480C"/>
    <w:rsid w:val="00995393"/>
    <w:rsid w:val="009A36D5"/>
    <w:rsid w:val="009A69B5"/>
    <w:rsid w:val="009A6EC5"/>
    <w:rsid w:val="009B266E"/>
    <w:rsid w:val="009B28FE"/>
    <w:rsid w:val="009B3927"/>
    <w:rsid w:val="009B6E92"/>
    <w:rsid w:val="009C1047"/>
    <w:rsid w:val="009C633C"/>
    <w:rsid w:val="009D1B4A"/>
    <w:rsid w:val="009D666D"/>
    <w:rsid w:val="009E6E34"/>
    <w:rsid w:val="009F6651"/>
    <w:rsid w:val="009F6712"/>
    <w:rsid w:val="009F6E6A"/>
    <w:rsid w:val="009F70A3"/>
    <w:rsid w:val="00A01B59"/>
    <w:rsid w:val="00A06221"/>
    <w:rsid w:val="00A10717"/>
    <w:rsid w:val="00A10CCE"/>
    <w:rsid w:val="00A1506E"/>
    <w:rsid w:val="00A20001"/>
    <w:rsid w:val="00A21984"/>
    <w:rsid w:val="00A21DCF"/>
    <w:rsid w:val="00A273BE"/>
    <w:rsid w:val="00A33256"/>
    <w:rsid w:val="00A40AA0"/>
    <w:rsid w:val="00A50241"/>
    <w:rsid w:val="00A517AA"/>
    <w:rsid w:val="00A55E2E"/>
    <w:rsid w:val="00A57321"/>
    <w:rsid w:val="00A615A3"/>
    <w:rsid w:val="00A62CB2"/>
    <w:rsid w:val="00A637C8"/>
    <w:rsid w:val="00A70575"/>
    <w:rsid w:val="00A73C7F"/>
    <w:rsid w:val="00A74617"/>
    <w:rsid w:val="00A840AB"/>
    <w:rsid w:val="00A85897"/>
    <w:rsid w:val="00A91D59"/>
    <w:rsid w:val="00A92E6E"/>
    <w:rsid w:val="00A9370E"/>
    <w:rsid w:val="00A9576B"/>
    <w:rsid w:val="00AA3F8B"/>
    <w:rsid w:val="00AA755C"/>
    <w:rsid w:val="00AB3E65"/>
    <w:rsid w:val="00AB40C9"/>
    <w:rsid w:val="00AC6260"/>
    <w:rsid w:val="00AC6410"/>
    <w:rsid w:val="00AC7866"/>
    <w:rsid w:val="00AD07F3"/>
    <w:rsid w:val="00AD0F53"/>
    <w:rsid w:val="00AD2DF6"/>
    <w:rsid w:val="00AD504A"/>
    <w:rsid w:val="00AD591C"/>
    <w:rsid w:val="00AE1AB0"/>
    <w:rsid w:val="00AE3D84"/>
    <w:rsid w:val="00AE3F12"/>
    <w:rsid w:val="00AE6A25"/>
    <w:rsid w:val="00AF1C97"/>
    <w:rsid w:val="00B02930"/>
    <w:rsid w:val="00B06010"/>
    <w:rsid w:val="00B06316"/>
    <w:rsid w:val="00B2469E"/>
    <w:rsid w:val="00B277DE"/>
    <w:rsid w:val="00B31438"/>
    <w:rsid w:val="00B330AE"/>
    <w:rsid w:val="00B34C1F"/>
    <w:rsid w:val="00B356F6"/>
    <w:rsid w:val="00B36701"/>
    <w:rsid w:val="00B36E78"/>
    <w:rsid w:val="00B40652"/>
    <w:rsid w:val="00B47071"/>
    <w:rsid w:val="00B50AE6"/>
    <w:rsid w:val="00B56CB1"/>
    <w:rsid w:val="00B61F0C"/>
    <w:rsid w:val="00B634F3"/>
    <w:rsid w:val="00B64585"/>
    <w:rsid w:val="00B64939"/>
    <w:rsid w:val="00B71E69"/>
    <w:rsid w:val="00B741D1"/>
    <w:rsid w:val="00B75C13"/>
    <w:rsid w:val="00B75C99"/>
    <w:rsid w:val="00B83178"/>
    <w:rsid w:val="00B90083"/>
    <w:rsid w:val="00B9204A"/>
    <w:rsid w:val="00B92F63"/>
    <w:rsid w:val="00B95C69"/>
    <w:rsid w:val="00B95D09"/>
    <w:rsid w:val="00B96CF1"/>
    <w:rsid w:val="00B97A5B"/>
    <w:rsid w:val="00BA2FC9"/>
    <w:rsid w:val="00BA35C4"/>
    <w:rsid w:val="00BA731E"/>
    <w:rsid w:val="00BB2664"/>
    <w:rsid w:val="00BB4567"/>
    <w:rsid w:val="00BB5DB6"/>
    <w:rsid w:val="00BC081B"/>
    <w:rsid w:val="00BD3784"/>
    <w:rsid w:val="00BD4CFF"/>
    <w:rsid w:val="00BE062F"/>
    <w:rsid w:val="00BE5597"/>
    <w:rsid w:val="00BE6D78"/>
    <w:rsid w:val="00BF3A2A"/>
    <w:rsid w:val="00BF4CA8"/>
    <w:rsid w:val="00C04ECB"/>
    <w:rsid w:val="00C05AE6"/>
    <w:rsid w:val="00C05B00"/>
    <w:rsid w:val="00C0745C"/>
    <w:rsid w:val="00C10A4B"/>
    <w:rsid w:val="00C16D4C"/>
    <w:rsid w:val="00C16DE3"/>
    <w:rsid w:val="00C17167"/>
    <w:rsid w:val="00C20E02"/>
    <w:rsid w:val="00C25D65"/>
    <w:rsid w:val="00C26392"/>
    <w:rsid w:val="00C30C41"/>
    <w:rsid w:val="00C31465"/>
    <w:rsid w:val="00C340A5"/>
    <w:rsid w:val="00C41AA2"/>
    <w:rsid w:val="00C4656C"/>
    <w:rsid w:val="00C4686D"/>
    <w:rsid w:val="00C46875"/>
    <w:rsid w:val="00C47A72"/>
    <w:rsid w:val="00C47BBA"/>
    <w:rsid w:val="00C47EA6"/>
    <w:rsid w:val="00C52F70"/>
    <w:rsid w:val="00C56B2D"/>
    <w:rsid w:val="00C62974"/>
    <w:rsid w:val="00C64641"/>
    <w:rsid w:val="00C64CC8"/>
    <w:rsid w:val="00C67312"/>
    <w:rsid w:val="00C75AF5"/>
    <w:rsid w:val="00C765B0"/>
    <w:rsid w:val="00C773FB"/>
    <w:rsid w:val="00C84D39"/>
    <w:rsid w:val="00C858B2"/>
    <w:rsid w:val="00C867A6"/>
    <w:rsid w:val="00C87400"/>
    <w:rsid w:val="00C90B04"/>
    <w:rsid w:val="00C93551"/>
    <w:rsid w:val="00C97B8B"/>
    <w:rsid w:val="00CA5433"/>
    <w:rsid w:val="00CA662D"/>
    <w:rsid w:val="00CB1D8E"/>
    <w:rsid w:val="00CB4E40"/>
    <w:rsid w:val="00CC6349"/>
    <w:rsid w:val="00CC70F4"/>
    <w:rsid w:val="00CD0745"/>
    <w:rsid w:val="00CD4778"/>
    <w:rsid w:val="00CE3434"/>
    <w:rsid w:val="00CE4C52"/>
    <w:rsid w:val="00CF3E6D"/>
    <w:rsid w:val="00CF43F7"/>
    <w:rsid w:val="00CF5E00"/>
    <w:rsid w:val="00CF6205"/>
    <w:rsid w:val="00D01148"/>
    <w:rsid w:val="00D063C6"/>
    <w:rsid w:val="00D13CE4"/>
    <w:rsid w:val="00D15819"/>
    <w:rsid w:val="00D16130"/>
    <w:rsid w:val="00D17F7A"/>
    <w:rsid w:val="00D27803"/>
    <w:rsid w:val="00D37E23"/>
    <w:rsid w:val="00D415E5"/>
    <w:rsid w:val="00D50834"/>
    <w:rsid w:val="00D513E6"/>
    <w:rsid w:val="00D533B5"/>
    <w:rsid w:val="00D54E65"/>
    <w:rsid w:val="00D577C8"/>
    <w:rsid w:val="00D76967"/>
    <w:rsid w:val="00D83427"/>
    <w:rsid w:val="00D84124"/>
    <w:rsid w:val="00D86654"/>
    <w:rsid w:val="00D86A99"/>
    <w:rsid w:val="00D906B5"/>
    <w:rsid w:val="00D943F6"/>
    <w:rsid w:val="00D96CF9"/>
    <w:rsid w:val="00D96E1A"/>
    <w:rsid w:val="00DA2DA8"/>
    <w:rsid w:val="00DA6D78"/>
    <w:rsid w:val="00DB38AD"/>
    <w:rsid w:val="00DB61FC"/>
    <w:rsid w:val="00DC3C3C"/>
    <w:rsid w:val="00DC516B"/>
    <w:rsid w:val="00DD7858"/>
    <w:rsid w:val="00DE1C38"/>
    <w:rsid w:val="00DE41D8"/>
    <w:rsid w:val="00DE7437"/>
    <w:rsid w:val="00DE771D"/>
    <w:rsid w:val="00DF148F"/>
    <w:rsid w:val="00DF1513"/>
    <w:rsid w:val="00DF34E8"/>
    <w:rsid w:val="00DF3C10"/>
    <w:rsid w:val="00E00F6E"/>
    <w:rsid w:val="00E0306C"/>
    <w:rsid w:val="00E05540"/>
    <w:rsid w:val="00E11490"/>
    <w:rsid w:val="00E134FB"/>
    <w:rsid w:val="00E158B5"/>
    <w:rsid w:val="00E15BBD"/>
    <w:rsid w:val="00E15E39"/>
    <w:rsid w:val="00E228EE"/>
    <w:rsid w:val="00E22C18"/>
    <w:rsid w:val="00E30D44"/>
    <w:rsid w:val="00E31826"/>
    <w:rsid w:val="00E40588"/>
    <w:rsid w:val="00E479A2"/>
    <w:rsid w:val="00E523BF"/>
    <w:rsid w:val="00E5258E"/>
    <w:rsid w:val="00E56BCD"/>
    <w:rsid w:val="00E64058"/>
    <w:rsid w:val="00E65BBD"/>
    <w:rsid w:val="00E661FD"/>
    <w:rsid w:val="00E66453"/>
    <w:rsid w:val="00E66472"/>
    <w:rsid w:val="00E703C1"/>
    <w:rsid w:val="00E71777"/>
    <w:rsid w:val="00E73BF9"/>
    <w:rsid w:val="00E7765E"/>
    <w:rsid w:val="00E818B3"/>
    <w:rsid w:val="00E83AC3"/>
    <w:rsid w:val="00E901EB"/>
    <w:rsid w:val="00EA4207"/>
    <w:rsid w:val="00EA6247"/>
    <w:rsid w:val="00EB54EF"/>
    <w:rsid w:val="00EC67B3"/>
    <w:rsid w:val="00ED091A"/>
    <w:rsid w:val="00ED212A"/>
    <w:rsid w:val="00ED3446"/>
    <w:rsid w:val="00EE3970"/>
    <w:rsid w:val="00EE7011"/>
    <w:rsid w:val="00EE7359"/>
    <w:rsid w:val="00EE7A3B"/>
    <w:rsid w:val="00EF0BEB"/>
    <w:rsid w:val="00EF21FF"/>
    <w:rsid w:val="00EF64CD"/>
    <w:rsid w:val="00F01191"/>
    <w:rsid w:val="00F04C5D"/>
    <w:rsid w:val="00F11B9B"/>
    <w:rsid w:val="00F260DE"/>
    <w:rsid w:val="00F36C0E"/>
    <w:rsid w:val="00F42F48"/>
    <w:rsid w:val="00F454AB"/>
    <w:rsid w:val="00F46E9F"/>
    <w:rsid w:val="00F549A1"/>
    <w:rsid w:val="00F557A7"/>
    <w:rsid w:val="00F61577"/>
    <w:rsid w:val="00F626EF"/>
    <w:rsid w:val="00F62F22"/>
    <w:rsid w:val="00F6582E"/>
    <w:rsid w:val="00F711F4"/>
    <w:rsid w:val="00F7719D"/>
    <w:rsid w:val="00F776E4"/>
    <w:rsid w:val="00F86E3B"/>
    <w:rsid w:val="00F91775"/>
    <w:rsid w:val="00F9267F"/>
    <w:rsid w:val="00F93068"/>
    <w:rsid w:val="00FA3294"/>
    <w:rsid w:val="00FB45C0"/>
    <w:rsid w:val="00FB5416"/>
    <w:rsid w:val="00FB7319"/>
    <w:rsid w:val="00FC0189"/>
    <w:rsid w:val="00FC11A8"/>
    <w:rsid w:val="00FC239F"/>
    <w:rsid w:val="00FC43DC"/>
    <w:rsid w:val="00FC5E82"/>
    <w:rsid w:val="00FD0FB7"/>
    <w:rsid w:val="00FD4068"/>
    <w:rsid w:val="00FD65D8"/>
    <w:rsid w:val="00FE19D3"/>
    <w:rsid w:val="00FE3855"/>
    <w:rsid w:val="00FF2C71"/>
    <w:rsid w:val="00FF3472"/>
    <w:rsid w:val="00FF5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A05D7-B6DC-4072-9285-4549DAD9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hr-H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191"/>
    <w:rPr>
      <w:rFonts w:ascii="Times New Roman" w:hAnsi="Times New Roman"/>
    </w:rPr>
  </w:style>
  <w:style w:type="paragraph" w:styleId="Heading1">
    <w:name w:val="heading 1"/>
    <w:basedOn w:val="Normal"/>
    <w:next w:val="Normal"/>
    <w:link w:val="Heading1Char"/>
    <w:uiPriority w:val="9"/>
    <w:qFormat/>
    <w:pPr>
      <w:keepNext/>
      <w:keepLines/>
      <w:spacing w:before="320" w:after="40"/>
      <w:outlineLvl w:val="0"/>
    </w:pPr>
    <w:rPr>
      <w:rFonts w:ascii="Calibri Light" w:eastAsia="Calibri Light" w:hAnsi="Calibri Light" w:cs="Calibri Light"/>
      <w:b/>
      <w:bCs/>
      <w:caps/>
      <w:spacing w:val="4"/>
      <w:sz w:val="28"/>
      <w:szCs w:val="28"/>
    </w:rPr>
  </w:style>
  <w:style w:type="paragraph" w:styleId="Heading2">
    <w:name w:val="heading 2"/>
    <w:basedOn w:val="Normal"/>
    <w:next w:val="Normal"/>
    <w:link w:val="Heading2Char"/>
    <w:uiPriority w:val="9"/>
    <w:unhideWhenUsed/>
    <w:qFormat/>
    <w:pPr>
      <w:keepNext/>
      <w:keepLines/>
      <w:spacing w:before="120" w:after="0"/>
      <w:outlineLvl w:val="1"/>
    </w:pPr>
    <w:rPr>
      <w:rFonts w:ascii="Calibri Light" w:eastAsia="Calibri Light" w:hAnsi="Calibri Light" w:cs="Calibri Light"/>
      <w:b/>
      <w:bCs/>
      <w:sz w:val="28"/>
      <w:szCs w:val="28"/>
    </w:rPr>
  </w:style>
  <w:style w:type="paragraph" w:styleId="Heading3">
    <w:name w:val="heading 3"/>
    <w:basedOn w:val="Normal"/>
    <w:next w:val="Normal"/>
    <w:link w:val="Heading3Char"/>
    <w:uiPriority w:val="9"/>
    <w:unhideWhenUsed/>
    <w:qFormat/>
    <w:rsid w:val="009F6651"/>
    <w:pPr>
      <w:keepNext/>
      <w:keepLines/>
      <w:spacing w:before="120" w:after="0"/>
      <w:outlineLvl w:val="2"/>
    </w:pPr>
    <w:rPr>
      <w:rFonts w:eastAsia="Calibri Light" w:cs="Times New Roman"/>
      <w:spacing w:val="4"/>
      <w:sz w:val="24"/>
      <w:szCs w:val="24"/>
    </w:rPr>
  </w:style>
  <w:style w:type="paragraph" w:styleId="Heading4">
    <w:name w:val="heading 4"/>
    <w:basedOn w:val="Normal"/>
    <w:next w:val="Normal"/>
    <w:link w:val="Heading4Char"/>
    <w:uiPriority w:val="9"/>
    <w:unhideWhenUsed/>
    <w:qFormat/>
    <w:pPr>
      <w:keepNext/>
      <w:keepLines/>
      <w:spacing w:before="120" w:after="0"/>
      <w:outlineLvl w:val="3"/>
    </w:pPr>
    <w:rPr>
      <w:rFonts w:ascii="Calibri Light" w:eastAsia="Calibri Light" w:hAnsi="Calibri Light" w:cs="Calibri Light"/>
      <w:i/>
      <w:iCs/>
      <w:sz w:val="24"/>
      <w:szCs w:val="24"/>
    </w:rPr>
  </w:style>
  <w:style w:type="paragraph" w:styleId="Heading5">
    <w:name w:val="heading 5"/>
    <w:basedOn w:val="Normal"/>
    <w:next w:val="Normal"/>
    <w:link w:val="Heading5Char"/>
    <w:uiPriority w:val="9"/>
    <w:unhideWhenUsed/>
    <w:qFormat/>
    <w:pPr>
      <w:keepNext/>
      <w:keepLines/>
      <w:spacing w:before="120" w:after="0"/>
      <w:outlineLvl w:val="4"/>
    </w:pPr>
    <w:rPr>
      <w:rFonts w:ascii="Calibri Light" w:eastAsia="Calibri Light" w:hAnsi="Calibri Light" w:cs="Calibri Light"/>
      <w:b/>
      <w:bCs/>
    </w:rPr>
  </w:style>
  <w:style w:type="paragraph" w:styleId="Heading6">
    <w:name w:val="heading 6"/>
    <w:basedOn w:val="Normal"/>
    <w:next w:val="Normal"/>
    <w:link w:val="Heading6Char"/>
    <w:uiPriority w:val="9"/>
    <w:unhideWhenUsed/>
    <w:qFormat/>
    <w:pPr>
      <w:keepNext/>
      <w:keepLines/>
      <w:spacing w:before="120" w:after="0"/>
      <w:outlineLvl w:val="5"/>
    </w:pPr>
    <w:rPr>
      <w:rFonts w:ascii="Calibri Light" w:eastAsia="Calibri Light" w:hAnsi="Calibri Light" w:cs="Calibri Light"/>
      <w:b/>
      <w:bCs/>
      <w:i/>
      <w:iCs/>
    </w:rPr>
  </w:style>
  <w:style w:type="paragraph" w:styleId="Heading7">
    <w:name w:val="heading 7"/>
    <w:basedOn w:val="Normal"/>
    <w:next w:val="Normal"/>
    <w:link w:val="Heading7Char"/>
    <w:uiPriority w:val="9"/>
    <w:unhideWhenUsed/>
    <w:qFormat/>
    <w:pPr>
      <w:keepNext/>
      <w:keepLines/>
      <w:spacing w:before="120" w:after="0"/>
      <w:outlineLvl w:val="6"/>
    </w:pPr>
    <w:rPr>
      <w:i/>
      <w:iCs/>
    </w:rPr>
  </w:style>
  <w:style w:type="paragraph" w:styleId="Heading8">
    <w:name w:val="heading 8"/>
    <w:basedOn w:val="Normal"/>
    <w:next w:val="Normal"/>
    <w:link w:val="Heading8Char"/>
    <w:uiPriority w:val="9"/>
    <w:unhideWhenUsed/>
    <w:qFormat/>
    <w:pPr>
      <w:keepNext/>
      <w:keepLines/>
      <w:spacing w:before="120" w:after="0"/>
      <w:outlineLvl w:val="7"/>
    </w:pPr>
    <w:rPr>
      <w:b/>
      <w:bCs/>
    </w:rPr>
  </w:style>
  <w:style w:type="paragraph" w:styleId="Heading9">
    <w:name w:val="heading 9"/>
    <w:basedOn w:val="Normal"/>
    <w:next w:val="Normal"/>
    <w:link w:val="Heading9Char"/>
    <w:uiPriority w:val="9"/>
    <w:unhideWhenUsed/>
    <w:qFormat/>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customStyle="1" w:styleId="Naslov1">
    <w:name w:val="Naslov1"/>
    <w:next w:val="Normal"/>
    <w:uiPriority w:val="99"/>
    <w:rPr>
      <w:rFonts w:eastAsia="Calibri Light" w:cs="Calibri Light"/>
      <w:color w:val="003C71"/>
      <w:sz w:val="40"/>
      <w:szCs w:val="32"/>
    </w:rPr>
  </w:style>
  <w:style w:type="character" w:customStyle="1" w:styleId="Heading1Char">
    <w:name w:val="Heading 1 Char"/>
    <w:basedOn w:val="DefaultParagraphFont"/>
    <w:link w:val="Heading1"/>
    <w:uiPriority w:val="9"/>
    <w:rPr>
      <w:rFonts w:ascii="Calibri Light" w:eastAsia="Calibri Light" w:hAnsi="Calibri Light" w:cs="Calibri Light"/>
      <w:b/>
      <w:bCs/>
      <w:caps/>
      <w:spacing w:val="4"/>
      <w:sz w:val="28"/>
      <w:szCs w:val="28"/>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rPr>
      <w:sz w:val="18"/>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hemeColor="background1"/>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E2F3"/>
      </w:tcPr>
    </w:tblStylePr>
  </w:style>
  <w:style w:type="paragraph" w:styleId="ListParagraph">
    <w:name w:val="List Paragraph"/>
    <w:basedOn w:val="Normal"/>
    <w:link w:val="ListParagraphChar"/>
    <w:uiPriority w:val="34"/>
    <w:qFormat/>
    <w:pPr>
      <w:ind w:left="720"/>
      <w:contextualSpacing/>
    </w:pPr>
  </w:style>
  <w:style w:type="character" w:customStyle="1" w:styleId="Heading2Char">
    <w:name w:val="Heading 2 Char"/>
    <w:basedOn w:val="DefaultParagraphFont"/>
    <w:link w:val="Heading2"/>
    <w:uiPriority w:val="9"/>
    <w:rPr>
      <w:rFonts w:ascii="Calibri Light" w:eastAsia="Calibri Light" w:hAnsi="Calibri Light" w:cs="Calibri Light"/>
      <w:b/>
      <w:bCs/>
      <w:sz w:val="28"/>
      <w:szCs w:val="28"/>
    </w:rPr>
  </w:style>
  <w:style w:type="paragraph" w:customStyle="1" w:styleId="Tablicanaslov">
    <w:name w:val="Tablica_naslov"/>
    <w:basedOn w:val="Normal"/>
    <w:uiPriority w:val="99"/>
    <w:pPr>
      <w:ind w:left="794" w:hanging="794"/>
    </w:pPr>
    <w:rPr>
      <w:rFonts w:cs="Segoe UI"/>
      <w:sz w:val="18"/>
      <w:szCs w:val="18"/>
    </w:rPr>
  </w:style>
  <w:style w:type="paragraph" w:styleId="BalloonText">
    <w:name w:val="Balloon Text"/>
    <w:basedOn w:val="Normal"/>
    <w:link w:val="BalloonTextChar"/>
    <w:uiPriority w:val="99"/>
    <w:unhideWhenUsed/>
    <w:rPr>
      <w:rFonts w:cs="Segoe UI"/>
      <w:sz w:val="18"/>
      <w:szCs w:val="18"/>
    </w:rPr>
  </w:style>
  <w:style w:type="character" w:customStyle="1" w:styleId="BalloonTextChar">
    <w:name w:val="Balloon Text Char"/>
    <w:basedOn w:val="DefaultParagraphFont"/>
    <w:link w:val="BalloonText"/>
    <w:uiPriority w:val="99"/>
    <w:rPr>
      <w:rFonts w:eastAsia="Times New Roman" w:cs="Segoe UI"/>
      <w:sz w:val="18"/>
      <w:szCs w:val="18"/>
      <w:lang w:eastAsia="hr-HR"/>
    </w:rPr>
  </w:style>
  <w:style w:type="character" w:customStyle="1" w:styleId="Heading3Char">
    <w:name w:val="Heading 3 Char"/>
    <w:basedOn w:val="DefaultParagraphFont"/>
    <w:link w:val="Heading3"/>
    <w:uiPriority w:val="9"/>
    <w:rsid w:val="009F6651"/>
    <w:rPr>
      <w:rFonts w:ascii="Times New Roman" w:eastAsia="Calibri Light" w:hAnsi="Times New Roman" w:cs="Times New Roman"/>
      <w:spacing w:val="4"/>
      <w:sz w:val="24"/>
      <w:szCs w:val="24"/>
    </w:rPr>
  </w:style>
  <w:style w:type="character" w:customStyle="1" w:styleId="Heading4Char">
    <w:name w:val="Heading 4 Char"/>
    <w:basedOn w:val="DefaultParagraphFont"/>
    <w:link w:val="Heading4"/>
    <w:uiPriority w:val="9"/>
    <w:rPr>
      <w:rFonts w:ascii="Calibri Light" w:eastAsia="Calibri Light" w:hAnsi="Calibri Light" w:cs="Calibri Light"/>
      <w:i/>
      <w:iCs/>
      <w:sz w:val="24"/>
      <w:szCs w:val="24"/>
    </w:rPr>
  </w:style>
  <w:style w:type="character" w:customStyle="1" w:styleId="Heading5Char">
    <w:name w:val="Heading 5 Char"/>
    <w:basedOn w:val="DefaultParagraphFont"/>
    <w:link w:val="Heading5"/>
    <w:uiPriority w:val="9"/>
    <w:rPr>
      <w:rFonts w:ascii="Calibri Light" w:eastAsia="Calibri Light" w:hAnsi="Calibri Light" w:cs="Calibri Light"/>
      <w:b/>
      <w:bCs/>
    </w:rPr>
  </w:style>
  <w:style w:type="character" w:customStyle="1" w:styleId="Heading6Char">
    <w:name w:val="Heading 6 Char"/>
    <w:basedOn w:val="DefaultParagraphFont"/>
    <w:link w:val="Heading6"/>
    <w:uiPriority w:val="9"/>
    <w:rPr>
      <w:rFonts w:ascii="Calibri Light" w:eastAsia="Calibri Light" w:hAnsi="Calibri Light" w:cs="Calibri Light"/>
      <w:b/>
      <w:bCs/>
      <w:i/>
      <w:iCs/>
    </w:rPr>
  </w:style>
  <w:style w:type="character" w:customStyle="1" w:styleId="Heading7Char">
    <w:name w:val="Heading 7 Char"/>
    <w:basedOn w:val="DefaultParagraphFont"/>
    <w:link w:val="Heading7"/>
    <w:uiPriority w:val="9"/>
    <w:rPr>
      <w:i/>
      <w:iCs/>
    </w:rPr>
  </w:style>
  <w:style w:type="character" w:customStyle="1" w:styleId="Heading8Char">
    <w:name w:val="Heading 8 Char"/>
    <w:basedOn w:val="DefaultParagraphFont"/>
    <w:link w:val="Heading8"/>
    <w:uiPriority w:val="9"/>
    <w:rPr>
      <w:b/>
      <w:bCs/>
    </w:rPr>
  </w:style>
  <w:style w:type="character" w:customStyle="1" w:styleId="Heading9Char">
    <w:name w:val="Heading 9 Char"/>
    <w:basedOn w:val="DefaultParagraphFont"/>
    <w:link w:val="Heading9"/>
    <w:uiPriority w:val="9"/>
    <w:rPr>
      <w:i/>
      <w:iCs/>
    </w:rPr>
  </w:style>
  <w:style w:type="paragraph" w:customStyle="1" w:styleId="Naslov10">
    <w:name w:val="Naslov_1"/>
    <w:basedOn w:val="ListParagraph"/>
    <w:link w:val="Naslov1Char"/>
    <w:pPr>
      <w:spacing w:line="240" w:lineRule="auto"/>
      <w:jc w:val="left"/>
      <w:outlineLvl w:val="0"/>
    </w:pPr>
    <w:rPr>
      <w:rFonts w:cs="Times New Roman"/>
      <w:b/>
      <w:color w:val="2F5496" w:themeColor="accent5" w:themeShade="BF"/>
      <w:sz w:val="32"/>
    </w:rPr>
  </w:style>
  <w:style w:type="paragraph" w:customStyle="1" w:styleId="Naslov2">
    <w:name w:val="Naslov_2"/>
    <w:basedOn w:val="ListParagraph"/>
    <w:link w:val="Naslov2Char"/>
    <w:pPr>
      <w:keepNext/>
      <w:spacing w:before="120"/>
      <w:jc w:val="left"/>
      <w:outlineLvl w:val="1"/>
    </w:pPr>
    <w:rPr>
      <w:rFonts w:cs="Times New Roman"/>
      <w:b/>
      <w:sz w:val="28"/>
    </w:rPr>
  </w:style>
  <w:style w:type="character" w:customStyle="1" w:styleId="ListParagraphChar">
    <w:name w:val="List Paragraph Char"/>
    <w:basedOn w:val="DefaultParagraphFont"/>
    <w:link w:val="ListParagraph"/>
    <w:uiPriority w:val="34"/>
  </w:style>
  <w:style w:type="character" w:customStyle="1" w:styleId="Naslov1Char">
    <w:name w:val="Naslov_1 Char"/>
    <w:basedOn w:val="ListParagraphChar"/>
    <w:link w:val="Naslov10"/>
    <w:rPr>
      <w:rFonts w:ascii="Times New Roman" w:eastAsia="Times New Roman" w:hAnsi="Times New Roman" w:cs="Times New Roman"/>
      <w:b/>
      <w:color w:val="2F5496" w:themeColor="accent5" w:themeShade="BF"/>
      <w:sz w:val="32"/>
      <w:szCs w:val="24"/>
      <w:lang w:eastAsia="hr-HR"/>
    </w:rPr>
  </w:style>
  <w:style w:type="paragraph" w:customStyle="1" w:styleId="Naslov3">
    <w:name w:val="Naslov_3"/>
    <w:basedOn w:val="Naslov2"/>
    <w:link w:val="Naslov3Char"/>
    <w:pPr>
      <w:numPr>
        <w:ilvl w:val="2"/>
      </w:numPr>
      <w:ind w:left="851" w:hanging="851"/>
      <w:outlineLvl w:val="2"/>
    </w:pPr>
  </w:style>
  <w:style w:type="character" w:customStyle="1" w:styleId="Naslov2Char">
    <w:name w:val="Naslov_2 Char"/>
    <w:basedOn w:val="ListParagraphChar"/>
    <w:link w:val="Naslov2"/>
    <w:rPr>
      <w:rFonts w:ascii="Times New Roman" w:eastAsia="Times New Roman" w:hAnsi="Times New Roman" w:cs="Times New Roman"/>
      <w:b/>
      <w:color w:val="000000" w:themeColor="text1"/>
      <w:sz w:val="28"/>
      <w:szCs w:val="24"/>
      <w:lang w:eastAsia="hr-HR"/>
    </w:rPr>
  </w:style>
  <w:style w:type="paragraph" w:customStyle="1" w:styleId="Naslov40">
    <w:name w:val="Naslov_4"/>
    <w:basedOn w:val="ListParagraph"/>
    <w:link w:val="Naslov4Char"/>
    <w:pPr>
      <w:spacing w:line="240" w:lineRule="auto"/>
      <w:ind w:left="737" w:hanging="737"/>
      <w:outlineLvl w:val="3"/>
    </w:pPr>
    <w:rPr>
      <w:rFonts w:cs="Times New Roman"/>
      <w:b/>
      <w:sz w:val="28"/>
      <w:szCs w:val="28"/>
      <w:lang w:val="en-GB"/>
    </w:rPr>
  </w:style>
  <w:style w:type="character" w:customStyle="1" w:styleId="Naslov3Char">
    <w:name w:val="Naslov_3 Char"/>
    <w:basedOn w:val="ListParagraphChar"/>
    <w:link w:val="Naslov3"/>
    <w:rPr>
      <w:rFonts w:ascii="Times New Roman" w:eastAsia="Times New Roman" w:hAnsi="Times New Roman" w:cs="Times New Roman"/>
      <w:b/>
      <w:color w:val="000000" w:themeColor="text1"/>
      <w:sz w:val="28"/>
      <w:szCs w:val="24"/>
      <w:lang w:eastAsia="hr-HR"/>
    </w:r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slov4Char">
    <w:name w:val="Naslov_4 Char"/>
    <w:basedOn w:val="ListParagraphChar"/>
    <w:link w:val="Naslov40"/>
    <w:rPr>
      <w:rFonts w:ascii="Times New Roman" w:eastAsia="Times New Roman" w:hAnsi="Times New Roman" w:cs="Times New Roman"/>
      <w:b/>
      <w:color w:val="000000" w:themeColor="text1"/>
      <w:sz w:val="28"/>
      <w:szCs w:val="28"/>
      <w:lang w:val="en-GB" w:eastAsia="hr-HR"/>
    </w:rPr>
  </w:style>
  <w:style w:type="paragraph" w:styleId="FootnoteText">
    <w:name w:val="footnote text"/>
    <w:basedOn w:val="Normal"/>
    <w:link w:val="FootnoteTextChar"/>
    <w:uiPriority w:val="99"/>
    <w:unhideWhenUsed/>
    <w:pPr>
      <w:ind w:left="113" w:hanging="113"/>
    </w:pPr>
    <w:rPr>
      <w:sz w:val="18"/>
    </w:rPr>
  </w:style>
  <w:style w:type="table" w:customStyle="1" w:styleId="GridTable5Dark-Accent51">
    <w:name w:val="Grid Table 5 Dark - Accent 5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shd w:val="clear" w:color="auto" w:fill="003C7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eastAsia="Times New Roman" w:cs="Times New Roman"/>
      <w:szCs w:val="24"/>
      <w:lang w:eastAsia="hr-HR"/>
    </w:rPr>
  </w:style>
  <w:style w:type="paragraph" w:customStyle="1" w:styleId="Style6">
    <w:name w:val="Style6"/>
    <w:basedOn w:val="NormalWeb"/>
    <w:uiPriority w:val="99"/>
    <w:pPr>
      <w:spacing w:before="100" w:beforeAutospacing="1" w:after="100" w:afterAutospacing="1"/>
      <w:ind w:left="567"/>
    </w:pPr>
    <w:rPr>
      <w:rFonts w:ascii="Segoe UI" w:hAnsi="Segoe UI"/>
      <w:sz w:val="20"/>
    </w:rPr>
  </w:style>
  <w:style w:type="paragraph" w:styleId="NormalWeb">
    <w:name w:val="Normal (Web)"/>
    <w:basedOn w:val="Normal"/>
    <w:link w:val="NormalWebChar"/>
    <w:uiPriority w:val="99"/>
    <w:unhideWhenUsed/>
  </w:style>
  <w:style w:type="paragraph" w:styleId="TOCHeading">
    <w:name w:val="TOC Heading"/>
    <w:basedOn w:val="Heading1"/>
    <w:next w:val="Normal"/>
    <w:uiPriority w:val="39"/>
    <w:unhideWhenUsed/>
    <w:qFormat/>
    <w:pPr>
      <w:outlineLvl w:val="9"/>
    </w:pPr>
  </w:style>
  <w:style w:type="paragraph" w:styleId="TOC9">
    <w:name w:val="toc 9"/>
    <w:basedOn w:val="Normal"/>
    <w:next w:val="Normal"/>
    <w:uiPriority w:val="39"/>
    <w:unhideWhenUsed/>
    <w:pPr>
      <w:spacing w:after="100"/>
      <w:ind w:left="1600"/>
    </w:pPr>
  </w:style>
  <w:style w:type="paragraph" w:styleId="TOC2">
    <w:name w:val="toc 2"/>
    <w:basedOn w:val="Normal"/>
    <w:next w:val="Normal"/>
    <w:uiPriority w:val="39"/>
    <w:unhideWhenUsed/>
    <w:pPr>
      <w:tabs>
        <w:tab w:val="right" w:leader="dot" w:pos="9062"/>
      </w:tabs>
      <w:spacing w:after="100" w:line="259" w:lineRule="auto"/>
      <w:ind w:left="618" w:right="567" w:hanging="397"/>
    </w:pPr>
    <w:rPr>
      <w:lang w:val="en-US"/>
    </w:rPr>
  </w:style>
  <w:style w:type="paragraph" w:styleId="TOC1">
    <w:name w:val="toc 1"/>
    <w:basedOn w:val="Normal"/>
    <w:next w:val="Normal"/>
    <w:uiPriority w:val="39"/>
    <w:unhideWhenUsed/>
    <w:pPr>
      <w:spacing w:after="100" w:line="259" w:lineRule="auto"/>
      <w:ind w:left="340" w:right="-2" w:hanging="340"/>
      <w:jc w:val="left"/>
    </w:pPr>
    <w:rPr>
      <w:szCs w:val="40"/>
      <w:lang w:val="en-US"/>
    </w:rPr>
  </w:style>
  <w:style w:type="paragraph" w:styleId="TOC3">
    <w:name w:val="toc 3"/>
    <w:basedOn w:val="Normal"/>
    <w:next w:val="Normal"/>
    <w:uiPriority w:val="39"/>
    <w:unhideWhenUsed/>
    <w:pPr>
      <w:tabs>
        <w:tab w:val="right" w:leader="dot" w:pos="9062"/>
      </w:tabs>
      <w:spacing w:after="100" w:line="259" w:lineRule="auto"/>
      <w:ind w:left="1128" w:right="567" w:hanging="510"/>
    </w:pPr>
    <w:rPr>
      <w:lang w:val="en-US"/>
    </w:rPr>
  </w:style>
  <w:style w:type="paragraph" w:customStyle="1" w:styleId="sadrzaj">
    <w:name w:val="sadrzaj"/>
    <w:basedOn w:val="Normal"/>
    <w:next w:val="TOC1"/>
    <w:uiPriority w:val="99"/>
  </w:style>
  <w:style w:type="paragraph" w:styleId="TOC8">
    <w:name w:val="toc 8"/>
    <w:basedOn w:val="Normal"/>
    <w:next w:val="Normal"/>
    <w:uiPriority w:val="39"/>
    <w:unhideWhenUsed/>
    <w:pPr>
      <w:spacing w:after="100"/>
      <w:ind w:left="1400"/>
    </w:pPr>
  </w:style>
  <w:style w:type="numbering" w:customStyle="1" w:styleId="naslovimultilvl">
    <w:name w:val="naslovi_multilvl"/>
    <w:uiPriority w:val="99"/>
    <w:pPr>
      <w:numPr>
        <w:numId w:val="1"/>
      </w:numPr>
    </w:pPr>
  </w:style>
  <w:style w:type="character" w:styleId="Strong">
    <w:name w:val="Strong"/>
    <w:basedOn w:val="DefaultParagraphFont"/>
    <w:uiPriority w:val="22"/>
    <w:qFormat/>
    <w:rPr>
      <w:b/>
      <w:bCs/>
      <w:color w:val="auto"/>
    </w:rPr>
  </w:style>
  <w:style w:type="numbering" w:customStyle="1" w:styleId="popis">
    <w:name w:val="popis"/>
    <w:uiPriority w:val="99"/>
    <w:pPr>
      <w:numPr>
        <w:numId w:val="2"/>
      </w:numPr>
    </w:pPr>
  </w:style>
  <w:style w:type="paragraph" w:styleId="Caption">
    <w:name w:val="caption"/>
    <w:basedOn w:val="Normal"/>
    <w:next w:val="Normal"/>
    <w:link w:val="CaptionChar"/>
    <w:uiPriority w:val="35"/>
    <w:unhideWhenUsed/>
    <w:qFormat/>
    <w:rPr>
      <w:b/>
      <w:bCs/>
      <w:sz w:val="18"/>
      <w:szCs w:val="18"/>
    </w:rPr>
  </w:style>
  <w:style w:type="paragraph" w:styleId="EndnoteText">
    <w:name w:val="endnote text"/>
    <w:basedOn w:val="Normal"/>
    <w:link w:val="EndnoteTextChar"/>
    <w:uiPriority w:val="99"/>
    <w:unhideWhenUsed/>
  </w:style>
  <w:style w:type="character" w:customStyle="1" w:styleId="EndnoteTextChar">
    <w:name w:val="Endnote Text Char"/>
    <w:basedOn w:val="DefaultParagraphFont"/>
    <w:link w:val="EndnoteText"/>
    <w:uiPriority w:val="99"/>
    <w:rPr>
      <w:rFonts w:eastAsia="Times New Roman" w:cs="Times New Roman"/>
      <w:color w:val="000000" w:themeColor="text1"/>
      <w:szCs w:val="20"/>
      <w:lang w:eastAsia="hr-HR"/>
    </w:rPr>
  </w:style>
  <w:style w:type="character" w:styleId="EndnoteReference">
    <w:name w:val="endnote reference"/>
    <w:basedOn w:val="DefaultParagraphFont"/>
    <w:unhideWhenUsed/>
    <w:rPr>
      <w:vertAlign w:val="superscript"/>
    </w:rPr>
  </w:style>
  <w:style w:type="paragraph" w:customStyle="1" w:styleId="Tekst">
    <w:name w:val="Tekst"/>
    <w:link w:val="TekstChar"/>
    <w:pPr>
      <w:keepNext/>
      <w:spacing w:after="0" w:line="240" w:lineRule="auto"/>
    </w:pPr>
    <w:rPr>
      <w:rFonts w:eastAsia="Times New Roman" w:cs="Times New Roman"/>
      <w:sz w:val="18"/>
      <w:szCs w:val="18"/>
      <w:lang w:val="en-GB" w:eastAsia="hr-HR"/>
    </w:rPr>
  </w:style>
  <w:style w:type="paragraph" w:customStyle="1" w:styleId="Slikaigrafnaslov">
    <w:name w:val="Slika i graf_naslov"/>
    <w:basedOn w:val="Caption"/>
    <w:link w:val="SlikaigrafnaslovChar"/>
    <w:pPr>
      <w:spacing w:before="120" w:after="0"/>
      <w:jc w:val="center"/>
    </w:pPr>
    <w:rPr>
      <w:b w:val="0"/>
      <w:i/>
      <w:caps/>
      <w:sz w:val="24"/>
    </w:rPr>
  </w:style>
  <w:style w:type="character" w:customStyle="1" w:styleId="CaptionChar">
    <w:name w:val="Caption Char"/>
    <w:basedOn w:val="DefaultParagraphFont"/>
    <w:link w:val="Caption"/>
    <w:uiPriority w:val="35"/>
    <w:rPr>
      <w:b/>
      <w:bCs/>
      <w:sz w:val="18"/>
      <w:szCs w:val="18"/>
    </w:rPr>
  </w:style>
  <w:style w:type="character" w:customStyle="1" w:styleId="SlikaigrafnaslovChar">
    <w:name w:val="Slika i graf_naslov Char"/>
    <w:basedOn w:val="CaptionChar"/>
    <w:link w:val="Slikaigrafnaslov"/>
    <w:rPr>
      <w:rFonts w:ascii="Times New Roman" w:hAnsi="Times New Roman"/>
      <w:b w:val="0"/>
      <w:bCs/>
      <w:i/>
      <w:iCs w:val="0"/>
      <w:caps/>
      <w:sz w:val="24"/>
      <w:szCs w:val="18"/>
    </w:r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21">
    <w:name w:val="Grid Table 2 - Accent 21"/>
    <w:basedOn w:val="TableNormal"/>
    <w:uiPriority w:val="4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one" w:sz="4" w:space="0" w:color="000000"/>
          <w:bottom w:val="single" w:sz="12" w:space="0" w:color="F4B083" w:themeColor="accent2"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F4B083" w:themeColor="accent2"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51">
    <w:name w:val="Grid Table 2 - Accent 51"/>
    <w:basedOn w:val="TableNormal"/>
    <w:uiPriority w:val="4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one" w:sz="4" w:space="0" w:color="000000"/>
          <w:bottom w:val="single" w:sz="12" w:space="0" w:color="8EAADB" w:themeColor="accent5"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8EAADB" w:themeColor="accent5"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one" w:sz="4" w:space="0" w:color="000000"/>
          <w:insideV w:val="none" w:sz="4" w:space="0" w:color="000000"/>
        </w:tcBorders>
        <w:shd w:val="clear" w:color="auto" w:fill="4472C4" w:themeFill="accent5"/>
      </w:tcPr>
    </w:tblStylePr>
    <w:tblStylePr w:type="lastRow">
      <w:rPr>
        <w:b/>
        <w:bCs/>
      </w:rPr>
      <w:tblPr/>
      <w:tcPr>
        <w:tcBorders>
          <w:top w:val="sing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otnoteTextChar">
    <w:name w:val="Footnote Text Char"/>
    <w:basedOn w:val="DefaultParagraphFont"/>
    <w:link w:val="FootnoteText"/>
    <w:uiPriority w:val="99"/>
    <w:rPr>
      <w:sz w:val="18"/>
    </w:rPr>
  </w:style>
  <w:style w:type="table" w:customStyle="1" w:styleId="ListTable3-Accent51">
    <w:name w:val="List Table 3 - Accent 51"/>
    <w:basedOn w:val="TableNormal"/>
    <w:uiPriority w:val="4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single" w:sz="4" w:space="0" w:color="4472C4" w:themeColor="accent5"/>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472C4" w:themeColor="accent5"/>
          <w:left w:val="none" w:sz="4" w:space="0" w:color="000000"/>
        </w:tcBorders>
      </w:tcPr>
    </w:tblStylePr>
    <w:tblStylePr w:type="swCell">
      <w:tblPr/>
      <w:tcPr>
        <w:tcBorders>
          <w:top w:val="single" w:sz="4" w:space="0" w:color="4472C4" w:themeColor="accent5"/>
          <w:right w:val="none" w:sz="4" w:space="0" w:color="000000"/>
        </w:tcBorders>
      </w:tcPr>
    </w:tblStyle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sing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single" w:sz="2" w:space="0" w:color="C9C9C9" w:themeColor="accent3"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one" w:sz="4" w:space="0" w:color="000000"/>
          <w:bottom w:val="single" w:sz="12" w:space="0" w:color="9CC2E5" w:themeColor="accen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9CC2E5" w:themeColor="accen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1">
    <w:name w:val="Grid Table 21"/>
    <w:basedOn w:val="TableNormal"/>
    <w:uiPriority w:val="4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one" w:sz="4" w:space="0" w:color="000000"/>
          <w:bottom w:val="single" w:sz="12" w:space="0" w:color="666666" w:themeColor="tex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666666" w:themeColor="tex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41">
    <w:name w:val="Grid Table 3 - Accent 41"/>
    <w:basedOn w:val="TableNormal"/>
    <w:uiPriority w:val="4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character" w:styleId="FootnoteReference">
    <w:name w:val="footnote reference"/>
    <w:basedOn w:val="DefaultParagraphFont"/>
    <w:uiPriority w:val="99"/>
    <w:unhideWhenUsed/>
    <w:rPr>
      <w:rFonts w:ascii="Segoe UI" w:hAnsi="Segoe UI"/>
      <w:sz w:val="18"/>
      <w:vertAlign w:val="superscript"/>
    </w:rPr>
  </w:style>
  <w:style w:type="paragraph" w:styleId="TableofFigures">
    <w:name w:val="table of figures"/>
    <w:basedOn w:val="Normal"/>
    <w:next w:val="Normal"/>
    <w:uiPriority w:val="99"/>
    <w:unhideWhenUsed/>
    <w:pPr>
      <w:tabs>
        <w:tab w:val="right" w:leader="dot" w:pos="9060"/>
      </w:tabs>
      <w:spacing w:before="80" w:after="100" w:line="259" w:lineRule="auto"/>
      <w:ind w:right="624"/>
    </w:pPr>
    <w:rPr>
      <w:i/>
    </w:rPr>
  </w:style>
  <w:style w:type="paragraph" w:customStyle="1" w:styleId="TablicaTOF">
    <w:name w:val="Tablica_TOF"/>
    <w:basedOn w:val="TableofFigures"/>
    <w:uiPriority w:val="99"/>
    <w:pPr>
      <w:keepNext/>
      <w:ind w:left="851" w:hanging="851"/>
    </w:pPr>
  </w:style>
  <w:style w:type="paragraph" w:customStyle="1" w:styleId="SlikaTOF">
    <w:name w:val="Slika_TOF"/>
    <w:basedOn w:val="TableofFigures"/>
    <w:uiPriority w:val="99"/>
    <w:pPr>
      <w:ind w:left="658" w:hanging="658"/>
    </w:pPr>
  </w:style>
  <w:style w:type="table" w:customStyle="1" w:styleId="Izvjescetablica1">
    <w:name w:val="Izvjescetablica1"/>
    <w:basedOn w:val="TableNormal"/>
    <w:next w:val="TableGrid"/>
    <w:uiPriority w:val="59"/>
    <w:pPr>
      <w:spacing w:after="0" w:line="240" w:lineRule="auto"/>
    </w:pPr>
    <w:rPr>
      <w:rFonts w:ascii="Times New Roman" w:eastAsia="Times New Roman" w:hAnsi="Times New Roman" w:cs="Times New Roman"/>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ICA">
    <w:name w:val="TABLICA"/>
    <w:basedOn w:val="Normal"/>
    <w:next w:val="Normal"/>
    <w:uiPriority w:val="99"/>
    <w:pPr>
      <w:outlineLvl w:val="6"/>
    </w:pPr>
    <w:rPr>
      <w:rFonts w:ascii="Palatino Linotype" w:eastAsia="Times New Roman" w:hAnsi="Palatino Linotype" w:cs="Times New Roman"/>
    </w:rPr>
  </w:style>
  <w:style w:type="table" w:customStyle="1" w:styleId="TABLICAHAOP3">
    <w:name w:val="TABLICA_HAOP3"/>
    <w:basedOn w:val="TableNormal"/>
    <w:next w:val="TableGrid"/>
    <w:uiPriority w:val="39"/>
    <w:pPr>
      <w:spacing w:after="0" w:line="240" w:lineRule="auto"/>
    </w:pPr>
    <w:rPr>
      <w:sz w:val="18"/>
    </w:rPr>
    <w:tblPr>
      <w:tblStyleRowBandSize w:val="1"/>
      <w:tblBorders>
        <w:top w:val="single" w:sz="4" w:space="0" w:color="DA291C"/>
        <w:left w:val="single" w:sz="4" w:space="0" w:color="DA291C"/>
        <w:bottom w:val="single" w:sz="4" w:space="0" w:color="DA291C"/>
        <w:right w:val="single" w:sz="4" w:space="0" w:color="DA291C"/>
        <w:insideH w:val="single" w:sz="4" w:space="0" w:color="DA291C"/>
        <w:insideV w:val="single" w:sz="4" w:space="0" w:color="DA291C"/>
      </w:tblBorders>
    </w:tblPr>
    <w:tcPr>
      <w:shd w:val="clear" w:color="auto" w:fill="auto"/>
    </w:tcPr>
    <w:tblStylePr w:type="firstRow">
      <w:pPr>
        <w:jc w:val="center"/>
      </w:pPr>
      <w:rPr>
        <w:rFonts w:ascii="Segoe UI" w:hAnsi="Segoe UI"/>
        <w:color w:val="FFFFFF" w:themeColor="background1"/>
        <w:sz w:val="18"/>
      </w:rPr>
      <w:tblPr/>
      <w:tcPr>
        <w:tcBorders>
          <w:top w:val="none" w:sz="4" w:space="0" w:color="000000"/>
          <w:left w:val="none" w:sz="4" w:space="0" w:color="000000"/>
          <w:bottom w:val="none" w:sz="4" w:space="0" w:color="000000"/>
          <w:right w:val="none" w:sz="4" w:space="0" w:color="000000"/>
          <w:insideH w:val="single" w:sz="4" w:space="0" w:color="FFFFFF" w:themeColor="background1"/>
          <w:insideV w:val="single" w:sz="4" w:space="0" w:color="FFFFFF" w:themeColor="background1"/>
        </w:tcBorders>
        <w:shd w:val="clear" w:color="auto" w:fill="DA291C"/>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F8CBC8"/>
      </w:tcPr>
    </w:tblStylePr>
  </w:style>
  <w:style w:type="table" w:customStyle="1" w:styleId="TABLICAHAOP2">
    <w:name w:val="TABLICA_HAOP2"/>
    <w:basedOn w:val="TableNormal"/>
    <w:next w:val="TableGrid"/>
    <w:uiPriority w:val="39"/>
    <w:pPr>
      <w:spacing w:after="0" w:line="240" w:lineRule="auto"/>
    </w:pPr>
    <w:rPr>
      <w:sz w:val="18"/>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hemeColor="background1"/>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E2F3"/>
      </w:tcPr>
    </w:tblStylePr>
  </w:style>
  <w:style w:type="table" w:customStyle="1" w:styleId="TABLICAHAOP35">
    <w:name w:val="TABLICA_HAOP35"/>
    <w:basedOn w:val="TableNormal"/>
    <w:next w:val="TableGrid"/>
    <w:uiPriority w:val="39"/>
    <w:pPr>
      <w:spacing w:after="0" w:line="240" w:lineRule="auto"/>
    </w:pPr>
    <w:rPr>
      <w:sz w:val="18"/>
    </w:rPr>
    <w:tblPr>
      <w:tblStyleRowBandSize w:val="1"/>
      <w:tblBorders>
        <w:top w:val="single" w:sz="4" w:space="0" w:color="F2C75C"/>
        <w:left w:val="single" w:sz="4" w:space="0" w:color="F2C75C"/>
        <w:bottom w:val="single" w:sz="4" w:space="0" w:color="F2C75C"/>
        <w:right w:val="single" w:sz="4" w:space="0" w:color="F2C75C"/>
        <w:insideH w:val="single" w:sz="4" w:space="0" w:color="F2C75C"/>
        <w:insideV w:val="single" w:sz="4" w:space="0" w:color="F2C75C"/>
      </w:tblBorders>
    </w:tblPr>
    <w:tblStylePr w:type="firstRow">
      <w:pPr>
        <w:jc w:val="center"/>
      </w:pPr>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F2C75C"/>
      </w:tcPr>
    </w:tblStylePr>
    <w:tblStylePr w:type="lastRow">
      <w:rPr>
        <w:b/>
      </w:rPr>
    </w:tblStylePr>
    <w:tblStylePr w:type="firstCol">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41"/>
      </w:tcPr>
    </w:tblStylePr>
    <w:tblStylePr w:type="band1Horz">
      <w:tblPr/>
      <w:tcPr>
        <w:shd w:val="clear" w:color="auto" w:fill="FDF6E3"/>
      </w:tcPr>
    </w:tblStylePr>
  </w:style>
  <w:style w:type="table" w:customStyle="1" w:styleId="TABLICAHAOP21">
    <w:name w:val="TABLICA_HAOP21"/>
    <w:basedOn w:val="TableNormal"/>
    <w:next w:val="TableGrid"/>
    <w:uiPriority w:val="39"/>
    <w:pPr>
      <w:spacing w:after="0" w:line="240" w:lineRule="auto"/>
    </w:pPr>
    <w:rPr>
      <w:sz w:val="18"/>
    </w:rPr>
    <w:tblPr>
      <w:tblStyleRowBandSize w:val="1"/>
      <w:tblBorders>
        <w:top w:val="single" w:sz="4" w:space="0" w:color="64CCC9"/>
        <w:left w:val="single" w:sz="4" w:space="0" w:color="64CCC9"/>
        <w:bottom w:val="single" w:sz="4" w:space="0" w:color="64CCC9"/>
        <w:right w:val="single" w:sz="4" w:space="0" w:color="64CCC9"/>
        <w:insideH w:val="single" w:sz="4" w:space="0" w:color="64CCC9"/>
        <w:insideV w:val="single" w:sz="4" w:space="0" w:color="64CCC9"/>
      </w:tblBorders>
    </w:tblPr>
    <w:tblStylePr w:type="firstRow">
      <w:pPr>
        <w:jc w:val="center"/>
      </w:pPr>
      <w:rPr>
        <w:rFonts w:ascii="Segoe UI" w:hAnsi="Segoe UI"/>
        <w:color w:val="FFFFFF" w:themeColor="background1"/>
        <w:sz w:val="18"/>
      </w:rPr>
      <w:tblPr/>
      <w:tcPr>
        <w:tcBorders>
          <w:insideV w:val="single" w:sz="4" w:space="0" w:color="FFFFFF" w:themeColor="background1"/>
        </w:tcBorders>
        <w:shd w:val="clear" w:color="auto" w:fill="64CCC9"/>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9F4F3"/>
      </w:tcPr>
    </w:tblStylePr>
  </w:style>
  <w:style w:type="table" w:customStyle="1" w:styleId="Izvjescetablica2">
    <w:name w:val="Izvjescetablica2"/>
    <w:basedOn w:val="TableNormal"/>
    <w:next w:val="TableGrid"/>
    <w:uiPriority w:val="59"/>
    <w:pPr>
      <w:spacing w:after="0" w:line="240" w:lineRule="auto"/>
    </w:pPr>
    <w:rPr>
      <w:rFonts w:ascii="Times New Roman" w:eastAsia="Times New Roman" w:hAnsi="Times New Roman" w:cs="Times New Roman"/>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ICAHAOP25">
    <w:name w:val="TABLICA_HAOP25"/>
    <w:basedOn w:val="TableNormal"/>
    <w:uiPriority w:val="39"/>
    <w:pPr>
      <w:spacing w:after="0" w:line="240" w:lineRule="auto"/>
    </w:pPr>
    <w:rPr>
      <w:sz w:val="18"/>
    </w:rPr>
    <w:tblPr>
      <w:tblStyleRowBandSize w:val="1"/>
      <w:tblBorders>
        <w:top w:val="single" w:sz="4" w:space="0" w:color="C5B9AC"/>
        <w:left w:val="single" w:sz="4" w:space="0" w:color="C5B9AC"/>
        <w:bottom w:val="single" w:sz="4" w:space="0" w:color="C5B9AC"/>
        <w:right w:val="single" w:sz="4" w:space="0" w:color="C5B9AC"/>
        <w:insideH w:val="single" w:sz="4" w:space="0" w:color="C5B9AC"/>
        <w:insideV w:val="single" w:sz="4" w:space="0" w:color="C5B9AC"/>
      </w:tblBorders>
    </w:tblPr>
    <w:tblStylePr w:type="firstRow">
      <w:pPr>
        <w:jc w:val="center"/>
      </w:pPr>
      <w:rPr>
        <w:rFonts w:ascii="Segoe UI" w:hAnsi="Segoe UI"/>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5B9AC"/>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EEEAE6"/>
      </w:tcPr>
    </w:tblStylePr>
  </w:style>
  <w:style w:type="table" w:customStyle="1" w:styleId="TABLICAHAOP42">
    <w:name w:val="TABLICA_HAOP42"/>
    <w:basedOn w:val="TableNormal"/>
    <w:next w:val="TableGrid"/>
    <w:uiPriority w:val="39"/>
    <w:pPr>
      <w:spacing w:after="0" w:line="240" w:lineRule="auto"/>
    </w:pPr>
    <w:rPr>
      <w:sz w:val="18"/>
    </w:rPr>
    <w:tblPr>
      <w:tblStyleRowBandSize w:val="1"/>
      <w:tblBorders>
        <w:top w:val="single" w:sz="4" w:space="0" w:color="006341"/>
        <w:left w:val="single" w:sz="4" w:space="0" w:color="006341"/>
        <w:bottom w:val="single" w:sz="4" w:space="0" w:color="006341"/>
        <w:right w:val="single" w:sz="4" w:space="0" w:color="006341"/>
        <w:insideH w:val="single" w:sz="4" w:space="0" w:color="006341"/>
        <w:insideV w:val="single" w:sz="4" w:space="0" w:color="006341"/>
      </w:tblBorders>
    </w:tblPr>
    <w:tblStylePr w:type="firstRow">
      <w:pPr>
        <w:jc w:val="center"/>
      </w:pPr>
      <w:rPr>
        <w:rFonts w:ascii="Segoe UI" w:hAnsi="Segoe UI"/>
        <w:color w:val="FFFFFF" w:themeColor="background1"/>
        <w:sz w:val="18"/>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006341"/>
      </w:tcPr>
    </w:tblStylePr>
    <w:tblStylePr w:type="lastRow">
      <w:rPr>
        <w:b/>
      </w:rPr>
    </w:tblStylePr>
    <w:tblStylePr w:type="firstCol">
      <w:rPr>
        <w:rFonts w:ascii="Segoe UI" w:hAnsi="Segoe UI"/>
        <w:sz w:val="18"/>
      </w:rPr>
      <w:tblPr/>
      <w:tcPr>
        <w:tcBorders>
          <w:insideH w:val="single" w:sz="4" w:space="0" w:color="FFFFFF" w:themeColor="background1"/>
        </w:tcBorders>
        <w:shd w:val="clear" w:color="auto" w:fill="003C71"/>
      </w:tcPr>
    </w:tblStylePr>
    <w:tblStylePr w:type="band1Horz">
      <w:tblPr/>
      <w:tcPr>
        <w:shd w:val="clear" w:color="auto" w:fill="DAE2DF"/>
      </w:tcPr>
    </w:tblStylePr>
  </w:style>
  <w:style w:type="paragraph" w:customStyle="1" w:styleId="CharChar1CharCharCharCharCharCharChar">
    <w:name w:val="Char Char1 Char Char Char Char Char Char Char"/>
    <w:basedOn w:val="Normal"/>
    <w:uiPriority w:val="99"/>
    <w:pPr>
      <w:spacing w:line="240" w:lineRule="exact"/>
    </w:pPr>
    <w:rPr>
      <w:rFonts w:ascii="Tahoma" w:eastAsia="Times New Roman" w:hAnsi="Tahoma" w:cs="Times New Roman"/>
      <w:lang w:val="en-US" w:eastAsia="hr-HR"/>
    </w:rPr>
  </w:style>
  <w:style w:type="paragraph" w:customStyle="1" w:styleId="Noparagraphstyle">
    <w:name w:val="[No paragraph style]"/>
    <w:uiPriority w:val="99"/>
    <w:pPr>
      <w:spacing w:after="0" w:line="288" w:lineRule="auto"/>
    </w:pPr>
    <w:rPr>
      <w:rFonts w:ascii="Minion Pro" w:eastAsia="Times New Roman" w:hAnsi="Minion Pro" w:cs="Minion Pro"/>
      <w:color w:val="000000"/>
      <w:sz w:val="24"/>
      <w:szCs w:val="24"/>
      <w:lang w:val="en-US"/>
    </w:rPr>
  </w:style>
  <w:style w:type="paragraph" w:customStyle="1" w:styleId="AZOklasaBOLD">
    <w:name w:val="AZO klasa BOLD"/>
    <w:basedOn w:val="Normal"/>
    <w:uiPriority w:val="99"/>
    <w:rPr>
      <w:rFonts w:ascii="Palatino Linotype" w:eastAsia="Times New Roman" w:hAnsi="Palatino Linotype" w:cs="Arial"/>
      <w:b/>
      <w:bCs/>
      <w:color w:val="000000"/>
      <w:szCs w:val="16"/>
      <w:lang w:eastAsia="hr-HR"/>
    </w:rPr>
  </w:style>
  <w:style w:type="paragraph" w:customStyle="1" w:styleId="AZOklasaROMAN">
    <w:name w:val="AZO klasa ROMAN"/>
    <w:basedOn w:val="Normal"/>
    <w:next w:val="AZOklasaBOLD"/>
    <w:uiPriority w:val="99"/>
    <w:rPr>
      <w:rFonts w:ascii="Palatino Linotype" w:eastAsia="Times New Roman" w:hAnsi="Palatino Linotype" w:cs="Arial"/>
      <w:color w:val="000000"/>
      <w:szCs w:val="16"/>
      <w:lang w:eastAsia="hr-HR"/>
    </w:rPr>
  </w:style>
  <w:style w:type="paragraph" w:customStyle="1" w:styleId="AZOadresa">
    <w:name w:val="AZO adresa"/>
    <w:basedOn w:val="Normal"/>
    <w:uiPriority w:val="99"/>
    <w:rPr>
      <w:rFonts w:ascii="Palatino Linotype" w:eastAsia="Times New Roman" w:hAnsi="Palatino Linotype" w:cs="Arial"/>
      <w:color w:val="000000"/>
      <w:szCs w:val="24"/>
      <w:lang w:eastAsia="hr-HR"/>
    </w:rPr>
  </w:style>
  <w:style w:type="paragraph" w:customStyle="1" w:styleId="AZOnaslov">
    <w:name w:val="AZO naslov"/>
    <w:basedOn w:val="Normal"/>
    <w:uiPriority w:val="99"/>
    <w:pPr>
      <w:spacing w:line="288" w:lineRule="auto"/>
    </w:pPr>
    <w:rPr>
      <w:rFonts w:ascii="Palatino Linotype" w:eastAsia="Times New Roman" w:hAnsi="Palatino Linotype" w:cs="Arial"/>
      <w:color w:val="000000"/>
      <w:spacing w:val="14"/>
      <w:sz w:val="28"/>
      <w:szCs w:val="28"/>
      <w:lang w:eastAsia="hr-HR"/>
    </w:rPr>
  </w:style>
  <w:style w:type="paragraph" w:customStyle="1" w:styleId="AZOtext">
    <w:name w:val="AZO text"/>
    <w:basedOn w:val="Normal"/>
    <w:link w:val="AZOtextChar"/>
    <w:pPr>
      <w:spacing w:line="288" w:lineRule="auto"/>
      <w:ind w:firstLine="170"/>
    </w:pPr>
    <w:rPr>
      <w:rFonts w:ascii="Palatino Linotype" w:eastAsia="Times New Roman" w:hAnsi="Palatino Linotype" w:cs="Arial"/>
      <w:color w:val="000000"/>
      <w:lang w:eastAsia="hr-HR"/>
    </w:rPr>
  </w:style>
  <w:style w:type="paragraph" w:customStyle="1" w:styleId="CharChar1">
    <w:name w:val="Char Char1"/>
    <w:basedOn w:val="Normal"/>
    <w:uiPriority w:val="99"/>
    <w:pPr>
      <w:spacing w:line="240" w:lineRule="exact"/>
    </w:pPr>
    <w:rPr>
      <w:rFonts w:ascii="Tahoma" w:eastAsia="Times New Roman" w:hAnsi="Tahoma" w:cs="Times New Roman"/>
      <w:lang w:val="en-US" w:eastAsia="hr-HR"/>
    </w:rPr>
  </w:style>
  <w:style w:type="paragraph" w:customStyle="1" w:styleId="T-98-2">
    <w:name w:val="T-9/8-2"/>
    <w:uiPriority w:val="99"/>
    <w:pPr>
      <w:widowControl w:val="0"/>
      <w:tabs>
        <w:tab w:val="left" w:pos="2153"/>
      </w:tabs>
      <w:spacing w:after="43" w:line="240" w:lineRule="auto"/>
      <w:ind w:firstLine="342"/>
    </w:pPr>
    <w:rPr>
      <w:rFonts w:ascii="Times-NewRoman" w:eastAsia="Times New Roman" w:hAnsi="Times-NewRoman" w:cs="Times New Roman"/>
      <w:sz w:val="19"/>
      <w:szCs w:val="19"/>
      <w:lang w:eastAsia="hr-HR"/>
    </w:rPr>
  </w:style>
  <w:style w:type="paragraph" w:styleId="PlainText">
    <w:name w:val="Plain Text"/>
    <w:basedOn w:val="Normal"/>
    <w:link w:val="PlainTextChar"/>
    <w:uiPriority w:val="99"/>
    <w:rPr>
      <w:rFonts w:ascii="Courier New" w:eastAsia="Times New Roman" w:hAnsi="Courier New" w:cs="Courier New"/>
      <w:lang w:eastAsia="hr-HR"/>
    </w:rPr>
  </w:style>
  <w:style w:type="character" w:customStyle="1" w:styleId="PlainTextChar">
    <w:name w:val="Plain Text Char"/>
    <w:basedOn w:val="DefaultParagraphFont"/>
    <w:link w:val="PlainText"/>
    <w:uiPriority w:val="99"/>
    <w:rPr>
      <w:rFonts w:ascii="Courier New" w:eastAsia="Times New Roman" w:hAnsi="Courier New" w:cs="Courier New"/>
      <w:lang w:eastAsia="hr-HR"/>
    </w:rPr>
  </w:style>
  <w:style w:type="paragraph" w:customStyle="1" w:styleId="n4">
    <w:name w:val="n4"/>
    <w:basedOn w:val="Normal"/>
    <w:uiPriority w:val="99"/>
    <w:pPr>
      <w:spacing w:before="120"/>
    </w:pPr>
    <w:rPr>
      <w:rFonts w:ascii="Arial" w:eastAsia="Times New Roman" w:hAnsi="Arial" w:cs="Times New Roman"/>
      <w:color w:val="000000"/>
      <w:sz w:val="16"/>
      <w:lang w:val="en-US" w:eastAsia="hr-HR"/>
    </w:rPr>
  </w:style>
  <w:style w:type="paragraph" w:customStyle="1" w:styleId="t-98sredina">
    <w:name w:val="t-98sredina"/>
    <w:basedOn w:val="Normal"/>
    <w:uiPriority w:val="99"/>
    <w:pPr>
      <w:spacing w:before="57" w:after="23"/>
      <w:jc w:val="center"/>
    </w:pPr>
    <w:rPr>
      <w:rFonts w:ascii="Minion Pro Cond" w:eastAsia="Times New Roman" w:hAnsi="Minion Pro Cond" w:cs="Times New Roman"/>
      <w:color w:val="000000"/>
      <w:sz w:val="19"/>
      <w:szCs w:val="19"/>
      <w:lang w:eastAsia="hr-HR"/>
    </w:rPr>
  </w:style>
  <w:style w:type="paragraph" w:customStyle="1" w:styleId="T-98bezuvl">
    <w:name w:val="T-9/8 bez uvl"/>
    <w:basedOn w:val="Normal"/>
    <w:uiPriority w:val="99"/>
    <w:pPr>
      <w:widowControl w:val="0"/>
      <w:spacing w:after="43" w:line="210" w:lineRule="atLeast"/>
    </w:pPr>
    <w:rPr>
      <w:rFonts w:ascii="Minion Pro Cond" w:eastAsia="Times New Roman" w:hAnsi="Minion Pro Cond" w:cs="Minion Pro Cond"/>
      <w:color w:val="000000"/>
      <w:lang w:eastAsia="hr-HR"/>
    </w:rPr>
  </w:style>
  <w:style w:type="paragraph" w:customStyle="1" w:styleId="noparagraphstyle0">
    <w:name w:val="noparagraphstyle"/>
    <w:basedOn w:val="Normal"/>
    <w:uiPriority w:val="99"/>
    <w:pPr>
      <w:spacing w:line="288" w:lineRule="auto"/>
    </w:pPr>
    <w:rPr>
      <w:rFonts w:ascii="Minion Pro Cond" w:eastAsia="Times New Roman" w:hAnsi="Minion Pro Cond" w:cs="Times New Roman"/>
      <w:color w:val="000000"/>
      <w:szCs w:val="24"/>
      <w:lang w:eastAsia="hr-HR"/>
    </w:rPr>
  </w:style>
  <w:style w:type="paragraph" w:customStyle="1" w:styleId="t-87-fusnota">
    <w:name w:val="t-87-fusnota"/>
    <w:basedOn w:val="Normal"/>
    <w:uiPriority w:val="99"/>
    <w:pPr>
      <w:spacing w:after="43" w:line="276" w:lineRule="auto"/>
    </w:pPr>
    <w:rPr>
      <w:rFonts w:ascii="Minion Pro Cond" w:eastAsia="Times New Roman" w:hAnsi="Minion Pro Cond" w:cs="Times New Roman"/>
      <w:color w:val="000000"/>
      <w:sz w:val="17"/>
      <w:szCs w:val="17"/>
      <w:lang w:eastAsia="hr-HR"/>
    </w:rPr>
  </w:style>
  <w:style w:type="character" w:styleId="PageNumber">
    <w:name w:val="page number"/>
    <w:basedOn w:val="DefaultParagraphFont"/>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rFonts w:ascii="Palatino Linotype" w:eastAsia="Times New Roman" w:hAnsi="Palatino Linotype" w:cs="Times New Roman"/>
      <w:lang w:eastAsia="hr-HR"/>
    </w:rPr>
  </w:style>
  <w:style w:type="character" w:customStyle="1" w:styleId="CommentTextChar">
    <w:name w:val="Comment Text Char"/>
    <w:basedOn w:val="DefaultParagraphFont"/>
    <w:link w:val="CommentText"/>
    <w:uiPriority w:val="99"/>
    <w:rPr>
      <w:rFonts w:ascii="Palatino Linotype" w:eastAsia="Times New Roman" w:hAnsi="Palatino Linotype" w:cs="Times New Roman"/>
      <w:lang w:eastAsia="hr-HR"/>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Palatino Linotype" w:eastAsia="Times New Roman" w:hAnsi="Palatino Linotype" w:cs="Times New Roman"/>
      <w:b/>
      <w:bCs/>
      <w:lang w:eastAsia="hr-HR"/>
    </w:rPr>
  </w:style>
  <w:style w:type="character" w:styleId="Emphasis">
    <w:name w:val="Emphasis"/>
    <w:basedOn w:val="DefaultParagraphFont"/>
    <w:uiPriority w:val="20"/>
    <w:qFormat/>
    <w:rPr>
      <w:i/>
      <w:iCs/>
      <w:color w:val="auto"/>
    </w:rPr>
  </w:style>
  <w:style w:type="character" w:customStyle="1" w:styleId="AZOtextChar">
    <w:name w:val="AZO text Char"/>
    <w:link w:val="AZOtext"/>
    <w:rPr>
      <w:rFonts w:ascii="Palatino Linotype" w:eastAsia="Times New Roman" w:hAnsi="Palatino Linotype" w:cs="Arial"/>
      <w:color w:val="000000"/>
      <w:lang w:eastAsia="hr-HR"/>
    </w:rPr>
  </w:style>
  <w:style w:type="paragraph" w:styleId="NoSpacing">
    <w:name w:val="No Spacing"/>
    <w:uiPriority w:val="1"/>
    <w:qFormat/>
    <w:pPr>
      <w:spacing w:after="0" w:line="240" w:lineRule="auto"/>
    </w:pPr>
  </w:style>
  <w:style w:type="paragraph" w:styleId="List">
    <w:name w:val="List"/>
    <w:basedOn w:val="Normal"/>
    <w:uiPriority w:val="99"/>
    <w:pPr>
      <w:ind w:left="283" w:hanging="283"/>
      <w:contextualSpacing/>
    </w:pPr>
    <w:rPr>
      <w:rFonts w:ascii="Palatino Linotype" w:eastAsia="Times New Roman" w:hAnsi="Palatino Linotype" w:cs="Times New Roman"/>
      <w:szCs w:val="24"/>
      <w:lang w:eastAsia="hr-HR"/>
    </w:rPr>
  </w:style>
  <w:style w:type="character" w:customStyle="1" w:styleId="StylePalatinoLinotype10pt1">
    <w:name w:val="Style Palatino Linotype 10 pt1"/>
    <w:uiPriority w:val="99"/>
    <w:rPr>
      <w:rFonts w:ascii="Palatino Linotype" w:hAnsi="Palatino Linotype"/>
      <w:sz w:val="20"/>
    </w:rPr>
  </w:style>
  <w:style w:type="paragraph" w:customStyle="1" w:styleId="Slika">
    <w:name w:val="Slika"/>
    <w:basedOn w:val="Normal"/>
    <w:link w:val="SlikaChar"/>
    <w:rPr>
      <w:rFonts w:ascii="Palatino Linotype" w:eastAsia="Times New Roman" w:hAnsi="Palatino Linotype" w:cs="Times New Roman"/>
    </w:rPr>
  </w:style>
  <w:style w:type="character" w:customStyle="1" w:styleId="SlikaChar">
    <w:name w:val="Slika Char"/>
    <w:link w:val="Slika"/>
    <w:rPr>
      <w:rFonts w:ascii="Palatino Linotype" w:eastAsia="Times New Roman" w:hAnsi="Palatino Linotype" w:cs="Times New Roman"/>
    </w:rPr>
  </w:style>
  <w:style w:type="paragraph" w:customStyle="1" w:styleId="StylePalatinoLinotype10pt">
    <w:name w:val="Style Palatino Linotype 10 pt"/>
    <w:basedOn w:val="Normal"/>
    <w:uiPriority w:val="99"/>
    <w:pPr>
      <w:spacing w:line="281" w:lineRule="auto"/>
    </w:pPr>
    <w:rPr>
      <w:rFonts w:ascii="Palatino Linotype" w:eastAsia="Times New Roman" w:hAnsi="Palatino Linotype" w:cs="Times New Roman"/>
      <w:lang w:eastAsia="hr-HR"/>
    </w:rPr>
  </w:style>
  <w:style w:type="paragraph" w:styleId="TOC4">
    <w:name w:val="toc 4"/>
    <w:basedOn w:val="Normal"/>
    <w:next w:val="Normal"/>
    <w:uiPriority w:val="39"/>
    <w:unhideWhenUsed/>
    <w:pPr>
      <w:ind w:left="660"/>
    </w:pPr>
    <w:rPr>
      <w:rFonts w:eastAsia="Times New Roman" w:cs="Times New Roman"/>
      <w:lang w:eastAsia="hr-HR"/>
    </w:rPr>
  </w:style>
  <w:style w:type="paragraph" w:styleId="TOC5">
    <w:name w:val="toc 5"/>
    <w:basedOn w:val="Normal"/>
    <w:next w:val="Normal"/>
    <w:uiPriority w:val="39"/>
    <w:unhideWhenUsed/>
    <w:pPr>
      <w:ind w:left="880"/>
    </w:pPr>
    <w:rPr>
      <w:rFonts w:eastAsia="Times New Roman" w:cs="Times New Roman"/>
      <w:lang w:eastAsia="hr-HR"/>
    </w:rPr>
  </w:style>
  <w:style w:type="paragraph" w:styleId="TOC6">
    <w:name w:val="toc 6"/>
    <w:basedOn w:val="Normal"/>
    <w:next w:val="Normal"/>
    <w:uiPriority w:val="39"/>
    <w:unhideWhenUsed/>
    <w:pPr>
      <w:ind w:left="1100"/>
    </w:pPr>
    <w:rPr>
      <w:rFonts w:eastAsia="Times New Roman" w:cs="Times New Roman"/>
      <w:lang w:eastAsia="hr-HR"/>
    </w:rPr>
  </w:style>
  <w:style w:type="paragraph" w:styleId="TOC7">
    <w:name w:val="toc 7"/>
    <w:basedOn w:val="Normal"/>
    <w:next w:val="Normal"/>
    <w:uiPriority w:val="39"/>
    <w:unhideWhenUsed/>
    <w:pPr>
      <w:ind w:left="1320"/>
    </w:pPr>
    <w:rPr>
      <w:rFonts w:eastAsia="Times New Roman" w:cs="Times New Roman"/>
      <w:lang w:eastAsia="hr-HR"/>
    </w:rPr>
  </w:style>
  <w:style w:type="paragraph" w:customStyle="1" w:styleId="NASLOV12Char">
    <w:name w:val="NASLOV 12 Char"/>
    <w:basedOn w:val="Normal"/>
    <w:next w:val="Normal"/>
    <w:link w:val="NASLOV12CharChar"/>
    <w:uiPriority w:val="99"/>
    <w:pPr>
      <w:tabs>
        <w:tab w:val="left" w:pos="284"/>
      </w:tabs>
      <w:ind w:left="284"/>
      <w:outlineLvl w:val="1"/>
    </w:pPr>
    <w:rPr>
      <w:rFonts w:ascii="Arial" w:eastAsia="Times New Roman" w:hAnsi="Arial" w:cs="Times New Roman"/>
      <w:b/>
      <w:caps/>
      <w:szCs w:val="24"/>
    </w:rPr>
  </w:style>
  <w:style w:type="character" w:customStyle="1" w:styleId="NASLOV12CharChar">
    <w:name w:val="NASLOV 12 Char Char"/>
    <w:link w:val="NASLOV12Char"/>
    <w:uiPriority w:val="99"/>
    <w:rPr>
      <w:rFonts w:ascii="Arial" w:eastAsia="Times New Roman" w:hAnsi="Arial" w:cs="Times New Roman"/>
      <w:b/>
      <w:caps/>
      <w:sz w:val="22"/>
      <w:szCs w:val="24"/>
    </w:rPr>
  </w:style>
  <w:style w:type="character" w:customStyle="1" w:styleId="osnivac1">
    <w:name w:val="osnivac1"/>
    <w:semiHidden/>
    <w:rPr>
      <w:rFonts w:ascii="Verdana" w:hAnsi="Verdana" w:hint="default"/>
      <w:color w:val="006699"/>
      <w:sz w:val="21"/>
      <w:szCs w:val="21"/>
    </w:rPr>
  </w:style>
  <w:style w:type="paragraph" w:customStyle="1" w:styleId="TABLICAChar">
    <w:name w:val="TABLICA Char"/>
    <w:basedOn w:val="Normal"/>
    <w:link w:val="TABLICACharChar1"/>
    <w:uiPriority w:val="99"/>
    <w:pPr>
      <w:outlineLvl w:val="6"/>
    </w:pPr>
    <w:rPr>
      <w:rFonts w:ascii="Palatino Linotype" w:eastAsia="Times New Roman" w:hAnsi="Palatino Linotype" w:cs="Times New Roman"/>
      <w:i/>
    </w:rPr>
  </w:style>
  <w:style w:type="character" w:customStyle="1" w:styleId="TABLICACharChar1">
    <w:name w:val="TABLICA Char Char1"/>
    <w:link w:val="TABLICAChar"/>
    <w:uiPriority w:val="99"/>
    <w:rPr>
      <w:rFonts w:ascii="Palatino Linotype" w:eastAsia="Times New Roman" w:hAnsi="Palatino Linotype" w:cs="Times New Roman"/>
      <w:i/>
    </w:rPr>
  </w:style>
  <w:style w:type="table" w:customStyle="1" w:styleId="TableGrid1">
    <w:name w:val="Table Grid1"/>
    <w:pPr>
      <w:spacing w:after="0" w:line="240" w:lineRule="auto"/>
    </w:pPr>
    <w:rPr>
      <w:rFonts w:eastAsia="Times New Roman" w:cs="Times New Roman"/>
      <w:lang w:eastAsia="hr-HR"/>
    </w:rPr>
    <w:tblPr>
      <w:tblCellMar>
        <w:top w:w="0" w:type="dxa"/>
        <w:left w:w="0" w:type="dxa"/>
        <w:bottom w:w="0" w:type="dxa"/>
        <w:right w:w="0" w:type="dxa"/>
      </w:tblCellMar>
    </w:tblPr>
  </w:style>
  <w:style w:type="paragraph" w:customStyle="1" w:styleId="Podnaslovxxxx">
    <w:name w:val="Podnaslov x.x.x.x"/>
    <w:basedOn w:val="Normal"/>
    <w:link w:val="PodnaslovxxxxChar"/>
    <w:pPr>
      <w:keepNext/>
      <w:outlineLvl w:val="3"/>
    </w:pPr>
    <w:rPr>
      <w:rFonts w:ascii="Arial" w:eastAsia="Times New Roman" w:hAnsi="Arial" w:cs="Times New Roman"/>
      <w:b/>
    </w:rPr>
  </w:style>
  <w:style w:type="character" w:customStyle="1" w:styleId="PodnaslovxxxxChar">
    <w:name w:val="Podnaslov x.x.x.x Char"/>
    <w:link w:val="Podnaslovxxxx"/>
    <w:rPr>
      <w:rFonts w:ascii="Arial" w:eastAsia="Times New Roman" w:hAnsi="Arial" w:cs="Times New Roman"/>
      <w:b/>
      <w:sz w:val="22"/>
    </w:rPr>
  </w:style>
  <w:style w:type="paragraph" w:customStyle="1" w:styleId="StyleNASLOVPisanoBold11PalatinoLinotype10pt">
    <w:name w:val="Style NASLOV Pisano Bold 11 + Palatino Linotype 10 pt"/>
    <w:basedOn w:val="Normal"/>
    <w:uiPriority w:val="99"/>
    <w:pPr>
      <w:keepNext/>
      <w:outlineLvl w:val="3"/>
    </w:pPr>
    <w:rPr>
      <w:rFonts w:ascii="Palatino Linotype" w:eastAsia="Times New Roman" w:hAnsi="Palatino Linotype" w:cs="Times New Roman"/>
      <w:b/>
      <w:bCs/>
      <w:lang w:val="en-US" w:eastAsia="hr-HR"/>
    </w:rPr>
  </w:style>
  <w:style w:type="character" w:customStyle="1" w:styleId="hps">
    <w:name w:val="hps"/>
  </w:style>
  <w:style w:type="character" w:customStyle="1" w:styleId="BodyText3Char">
    <w:name w:val="Body Text 3 Char"/>
    <w:rPr>
      <w:rFonts w:cs="Times New Roman"/>
      <w:sz w:val="22"/>
      <w:lang w:val="hr-HR" w:eastAsia="hr-HR" w:bidi="ar-SA"/>
    </w:rPr>
  </w:style>
  <w:style w:type="paragraph" w:customStyle="1" w:styleId="NASLOV11">
    <w:name w:val="NASLOV 11"/>
    <w:basedOn w:val="Title"/>
    <w:uiPriority w:val="99"/>
    <w:pPr>
      <w:jc w:val="both"/>
      <w:outlineLvl w:val="2"/>
    </w:pPr>
    <w:rPr>
      <w:rFonts w:ascii="Arial" w:hAnsi="Arial"/>
      <w:bCs w:val="0"/>
      <w:caps/>
      <w:sz w:val="22"/>
      <w:szCs w:val="22"/>
    </w:rPr>
  </w:style>
  <w:style w:type="paragraph" w:styleId="Title">
    <w:name w:val="Title"/>
    <w:basedOn w:val="Normal"/>
    <w:next w:val="Normal"/>
    <w:link w:val="TitleChar"/>
    <w:uiPriority w:val="10"/>
    <w:qFormat/>
    <w:pPr>
      <w:spacing w:after="0" w:line="240" w:lineRule="auto"/>
      <w:contextualSpacing/>
      <w:jc w:val="center"/>
    </w:pPr>
    <w:rPr>
      <w:rFonts w:ascii="Calibri Light" w:eastAsia="Calibri Light" w:hAnsi="Calibri Light" w:cs="Calibri Light"/>
      <w:b/>
      <w:bCs/>
      <w:spacing w:val="-7"/>
      <w:sz w:val="48"/>
      <w:szCs w:val="48"/>
    </w:rPr>
  </w:style>
  <w:style w:type="character" w:customStyle="1" w:styleId="NaslovChar1">
    <w:name w:val="Naslov Char1"/>
    <w:basedOn w:val="DefaultParagraphFont"/>
    <w:uiPriority w:val="99"/>
    <w:rPr>
      <w:rFonts w:ascii="Calibri Light" w:eastAsia="Times New Roman" w:hAnsi="Calibri Light" w:cs="Times New Roman"/>
      <w:b/>
      <w:bCs/>
      <w:sz w:val="32"/>
      <w:szCs w:val="32"/>
      <w:lang w:eastAsia="hr-HR"/>
    </w:rPr>
  </w:style>
  <w:style w:type="paragraph" w:customStyle="1" w:styleId="NASLOVPisanoBold11">
    <w:name w:val="NASLOV Pisano Bold 11"/>
    <w:basedOn w:val="Normal"/>
    <w:link w:val="NASLOVPisanoBold11Char"/>
    <w:pPr>
      <w:keepNext/>
      <w:outlineLvl w:val="3"/>
    </w:pPr>
    <w:rPr>
      <w:rFonts w:ascii="Arial" w:eastAsia="Times New Roman" w:hAnsi="Arial" w:cs="Times New Roman"/>
      <w:b/>
      <w:i/>
    </w:rPr>
  </w:style>
  <w:style w:type="character" w:customStyle="1" w:styleId="NASLOVPisanoBold11Char">
    <w:name w:val="NASLOV Pisano Bold 11 Char"/>
    <w:link w:val="NASLOVPisanoBold11"/>
    <w:rPr>
      <w:rFonts w:ascii="Arial" w:eastAsia="Times New Roman" w:hAnsi="Arial" w:cs="Times New Roman"/>
      <w:b/>
      <w:i/>
      <w:sz w:val="22"/>
    </w:rPr>
  </w:style>
  <w:style w:type="numbering" w:customStyle="1" w:styleId="NoList1">
    <w:name w:val="No List1"/>
    <w:next w:val="NoList"/>
    <w:uiPriority w:val="99"/>
  </w:style>
  <w:style w:type="paragraph" w:styleId="BodyText3">
    <w:name w:val="Body Text 3"/>
    <w:basedOn w:val="Normal"/>
    <w:link w:val="BodyText3Char1"/>
    <w:uiPriority w:val="99"/>
    <w:pPr>
      <w:spacing w:after="120"/>
    </w:pPr>
    <w:rPr>
      <w:rFonts w:ascii="Arial" w:eastAsia="Times New Roman" w:hAnsi="Arial" w:cs="Times New Roman"/>
      <w:sz w:val="16"/>
      <w:szCs w:val="16"/>
      <w:lang w:eastAsia="hr-HR"/>
    </w:rPr>
  </w:style>
  <w:style w:type="character" w:customStyle="1" w:styleId="BodyText3Char1">
    <w:name w:val="Body Text 3 Char1"/>
    <w:basedOn w:val="DefaultParagraphFont"/>
    <w:link w:val="BodyText3"/>
    <w:uiPriority w:val="99"/>
    <w:rPr>
      <w:rFonts w:ascii="Arial" w:eastAsia="Times New Roman" w:hAnsi="Arial" w:cs="Times New Roman"/>
      <w:sz w:val="16"/>
      <w:szCs w:val="16"/>
      <w:lang w:eastAsia="hr-HR"/>
    </w:rPr>
  </w:style>
  <w:style w:type="paragraph" w:styleId="BodyText2">
    <w:name w:val="Body Text 2"/>
    <w:basedOn w:val="Normal"/>
    <w:link w:val="BodyText2Char"/>
    <w:uiPriority w:val="99"/>
    <w:pPr>
      <w:spacing w:after="120" w:line="480" w:lineRule="auto"/>
    </w:pPr>
    <w:rPr>
      <w:rFonts w:ascii="Arial" w:eastAsia="Times New Roman" w:hAnsi="Arial" w:cs="Times New Roman"/>
    </w:rPr>
  </w:style>
  <w:style w:type="character" w:customStyle="1" w:styleId="BodyText2Char">
    <w:name w:val="Body Text 2 Char"/>
    <w:basedOn w:val="DefaultParagraphFont"/>
    <w:link w:val="BodyText2"/>
    <w:uiPriority w:val="99"/>
    <w:rPr>
      <w:rFonts w:ascii="Arial" w:eastAsia="Times New Roman" w:hAnsi="Arial" w:cs="Times New Roman"/>
      <w:sz w:val="22"/>
    </w:rPr>
  </w:style>
  <w:style w:type="paragraph" w:customStyle="1" w:styleId="Style1">
    <w:name w:val="Style1"/>
    <w:basedOn w:val="Normal"/>
    <w:uiPriority w:val="99"/>
    <w:semiHidden/>
    <w:rPr>
      <w:rFonts w:ascii="Univers" w:eastAsia="Times New Roman" w:hAnsi="Univers" w:cs="Times New Roman"/>
      <w:lang w:eastAsia="hr-HR"/>
    </w:rPr>
  </w:style>
  <w:style w:type="paragraph" w:customStyle="1" w:styleId="BodyText1">
    <w:name w:val="Body Text1"/>
    <w:uiPriority w:val="99"/>
    <w:pPr>
      <w:spacing w:after="80" w:line="240" w:lineRule="auto"/>
    </w:pPr>
    <w:rPr>
      <w:rFonts w:ascii="GarmdITC Bk BT" w:eastAsia="Times New Roman" w:hAnsi="GarmdITC Bk BT" w:cs="Times New Roman"/>
      <w:sz w:val="21"/>
      <w:lang w:eastAsia="hr-HR"/>
    </w:rPr>
  </w:style>
  <w:style w:type="paragraph" w:styleId="BodyTextIndent">
    <w:name w:val="Body Text Indent"/>
    <w:basedOn w:val="Normal"/>
    <w:link w:val="BodyTextIndentChar"/>
    <w:uiPriority w:val="99"/>
    <w:pPr>
      <w:keepLines/>
      <w:ind w:left="425" w:hanging="425"/>
    </w:pPr>
    <w:rPr>
      <w:rFonts w:ascii="Palatino Linotype" w:eastAsia="Times New Roman" w:hAnsi="Palatino Linotype" w:cs="Times New Roman"/>
      <w:color w:val="000000"/>
    </w:rPr>
  </w:style>
  <w:style w:type="character" w:customStyle="1" w:styleId="BodyTextIndentChar">
    <w:name w:val="Body Text Indent Char"/>
    <w:basedOn w:val="DefaultParagraphFont"/>
    <w:link w:val="BodyTextIndent"/>
    <w:uiPriority w:val="99"/>
    <w:rPr>
      <w:rFonts w:ascii="Palatino Linotype" w:eastAsia="Times New Roman" w:hAnsi="Palatino Linotype" w:cs="Times New Roman"/>
      <w:color w:val="000000"/>
    </w:rPr>
  </w:style>
  <w:style w:type="paragraph" w:customStyle="1" w:styleId="DefinitionTerm">
    <w:name w:val="Definition Term"/>
    <w:basedOn w:val="Normal"/>
    <w:next w:val="Normal"/>
    <w:uiPriority w:val="99"/>
    <w:semiHidden/>
    <w:rPr>
      <w:rFonts w:ascii="Palatino Linotype" w:eastAsia="Times New Roman" w:hAnsi="Palatino Linotype" w:cs="Times New Roman"/>
    </w:rPr>
  </w:style>
  <w:style w:type="paragraph" w:styleId="Subtitle">
    <w:name w:val="Subtitle"/>
    <w:basedOn w:val="Normal"/>
    <w:next w:val="Normal"/>
    <w:link w:val="SubtitleChar"/>
    <w:uiPriority w:val="11"/>
    <w:qFormat/>
    <w:pPr>
      <w:numPr>
        <w:ilvl w:val="1"/>
      </w:numPr>
      <w:spacing w:after="240"/>
      <w:jc w:val="center"/>
    </w:pPr>
    <w:rPr>
      <w:rFonts w:ascii="Calibri Light" w:eastAsia="Calibri Light" w:hAnsi="Calibri Light" w:cs="Calibri Light"/>
      <w:sz w:val="24"/>
      <w:szCs w:val="24"/>
    </w:rPr>
  </w:style>
  <w:style w:type="character" w:customStyle="1" w:styleId="SubtitleChar">
    <w:name w:val="Subtitle Char"/>
    <w:basedOn w:val="DefaultParagraphFont"/>
    <w:link w:val="Subtitle"/>
    <w:uiPriority w:val="11"/>
    <w:rPr>
      <w:rFonts w:ascii="Calibri Light" w:eastAsia="Calibri Light" w:hAnsi="Calibri Light" w:cs="Calibri Light"/>
      <w:sz w:val="24"/>
      <w:szCs w:val="24"/>
    </w:rPr>
  </w:style>
  <w:style w:type="paragraph" w:customStyle="1" w:styleId="NASLOV14">
    <w:name w:val="NASLOV 14"/>
    <w:basedOn w:val="Normal"/>
    <w:next w:val="BodyText1"/>
    <w:link w:val="NASLOV14Char"/>
    <w:uiPriority w:val="99"/>
    <w:pPr>
      <w:numPr>
        <w:numId w:val="4"/>
      </w:numPr>
      <w:outlineLvl w:val="0"/>
    </w:pPr>
    <w:rPr>
      <w:rFonts w:ascii="Palatino Linotype" w:eastAsia="Times New Roman" w:hAnsi="Palatino Linotype" w:cs="Times New Roman"/>
      <w:b/>
      <w:sz w:val="28"/>
      <w:szCs w:val="28"/>
    </w:rPr>
  </w:style>
  <w:style w:type="character" w:customStyle="1" w:styleId="NASLOV14Char">
    <w:name w:val="NASLOV 14 Char"/>
    <w:link w:val="NASLOV14"/>
    <w:uiPriority w:val="99"/>
    <w:rPr>
      <w:rFonts w:ascii="Palatino Linotype" w:eastAsia="Times New Roman" w:hAnsi="Palatino Linotype" w:cs="Times New Roman"/>
      <w:b/>
      <w:sz w:val="28"/>
      <w:szCs w:val="28"/>
    </w:rPr>
  </w:style>
  <w:style w:type="paragraph" w:styleId="ListBullet2">
    <w:name w:val="List Bullet 2"/>
    <w:basedOn w:val="ListBullet"/>
    <w:uiPriority w:val="99"/>
    <w:pPr>
      <w:tabs>
        <w:tab w:val="clear" w:pos="360"/>
      </w:tabs>
      <w:spacing w:after="20" w:line="240" w:lineRule="exact"/>
      <w:ind w:left="1321" w:hanging="357"/>
    </w:pPr>
    <w:rPr>
      <w:color w:val="000000"/>
      <w:sz w:val="20"/>
    </w:rPr>
  </w:style>
  <w:style w:type="paragraph" w:styleId="ListBullet">
    <w:name w:val="List Bullet"/>
    <w:basedOn w:val="Normal"/>
    <w:uiPriority w:val="99"/>
    <w:pPr>
      <w:tabs>
        <w:tab w:val="left" w:pos="360"/>
      </w:tabs>
      <w:ind w:left="360" w:hanging="360"/>
    </w:pPr>
    <w:rPr>
      <w:rFonts w:ascii="Arial" w:eastAsia="Times New Roman" w:hAnsi="Arial" w:cs="Times New Roman"/>
    </w:rPr>
  </w:style>
  <w:style w:type="paragraph" w:customStyle="1" w:styleId="Text">
    <w:name w:val="Text"/>
    <w:uiPriority w:val="99"/>
    <w:semiHidden/>
    <w:pPr>
      <w:spacing w:before="40" w:after="20" w:line="240" w:lineRule="auto"/>
    </w:pPr>
    <w:rPr>
      <w:rFonts w:ascii="Arial" w:eastAsia="Times New Roman" w:hAnsi="Arial" w:cs="Times New Roman"/>
      <w:lang w:val="en-GB" w:eastAsia="hr-HR"/>
    </w:rPr>
  </w:style>
  <w:style w:type="paragraph" w:customStyle="1" w:styleId="body">
    <w:name w:val="body"/>
    <w:uiPriority w:val="99"/>
    <w:semiHidden/>
    <w:pPr>
      <w:spacing w:before="40" w:after="100" w:line="240" w:lineRule="auto"/>
    </w:pPr>
    <w:rPr>
      <w:rFonts w:ascii="Times New Roman" w:eastAsia="Times New Roman" w:hAnsi="Times New Roman" w:cs="Times New Roman"/>
      <w:lang w:val="en-GB" w:eastAsia="hr-HR"/>
    </w:rPr>
  </w:style>
  <w:style w:type="paragraph" w:customStyle="1" w:styleId="KM">
    <w:name w:val="KM"/>
    <w:basedOn w:val="Heading4"/>
    <w:uiPriority w:val="99"/>
    <w:semiHidden/>
    <w:pPr>
      <w:ind w:left="720"/>
    </w:pPr>
    <w:rPr>
      <w:rFonts w:ascii="Times New Roman Bold" w:eastAsia="Times New Roman" w:hAnsi="Times New Roman Bold"/>
      <w:b/>
      <w:sz w:val="22"/>
    </w:rPr>
  </w:style>
  <w:style w:type="paragraph" w:customStyle="1" w:styleId="EXECUTIVESUMMARY">
    <w:name w:val="EXECUTIVE SUMMARY"/>
    <w:basedOn w:val="NASLOV14"/>
    <w:uiPriority w:val="99"/>
    <w:pPr>
      <w:numPr>
        <w:numId w:val="0"/>
      </w:numPr>
    </w:pPr>
  </w:style>
  <w:style w:type="paragraph" w:customStyle="1" w:styleId="tekst0">
    <w:name w:val="tekst"/>
    <w:basedOn w:val="Normal"/>
    <w:uiPriority w:val="99"/>
    <w:semiHidden/>
    <w:pPr>
      <w:shd w:val="clear" w:color="auto" w:fill="FFFFFF"/>
      <w:spacing w:before="100" w:beforeAutospacing="1" w:after="100" w:afterAutospacing="1"/>
    </w:pPr>
    <w:rPr>
      <w:rFonts w:ascii="Arial" w:eastAsia="Times New Roman" w:hAnsi="Arial" w:cs="Arial"/>
      <w:color w:val="003366"/>
      <w:sz w:val="17"/>
      <w:szCs w:val="17"/>
      <w:lang w:eastAsia="hr-HR"/>
    </w:rPr>
  </w:style>
  <w:style w:type="paragraph" w:customStyle="1" w:styleId="TABLICACharChar">
    <w:name w:val="TABLICA Char Char"/>
    <w:basedOn w:val="Normal"/>
    <w:next w:val="BodyText1"/>
    <w:uiPriority w:val="99"/>
    <w:rPr>
      <w:rFonts w:ascii="Arial" w:eastAsia="Times New Roman" w:hAnsi="Arial" w:cs="Times New Roman"/>
      <w:i/>
    </w:rPr>
  </w:style>
  <w:style w:type="character" w:customStyle="1" w:styleId="TABLICACharCharCharChar">
    <w:name w:val="TABLICA Char Char Char Char"/>
    <w:rPr>
      <w:rFonts w:ascii="Arial" w:hAnsi="Arial"/>
      <w:i/>
      <w:sz w:val="22"/>
      <w:lang w:val="en-GB" w:eastAsia="en-US" w:bidi="ar-SA"/>
    </w:rPr>
  </w:style>
  <w:style w:type="character" w:customStyle="1" w:styleId="TABLICACharCharCharCharChar">
    <w:name w:val="TABLICA Char Char Char Char Char"/>
    <w:rPr>
      <w:rFonts w:ascii="Arial" w:hAnsi="Arial"/>
      <w:i/>
      <w:sz w:val="22"/>
      <w:szCs w:val="22"/>
      <w:lang w:val="en-GB" w:eastAsia="en-US" w:bidi="ar-SA"/>
    </w:rPr>
  </w:style>
  <w:style w:type="paragraph" w:customStyle="1" w:styleId="SLIKAChar0">
    <w:name w:val="SLIKA Char"/>
    <w:basedOn w:val="Normal"/>
    <w:next w:val="BodyText1"/>
    <w:link w:val="SLIKACharChar"/>
    <w:pPr>
      <w:jc w:val="center"/>
    </w:pPr>
    <w:rPr>
      <w:rFonts w:ascii="Arial" w:eastAsia="Times New Roman" w:hAnsi="Arial" w:cs="Times New Roman"/>
      <w:i/>
      <w:lang w:eastAsia="hr-HR"/>
    </w:rPr>
  </w:style>
  <w:style w:type="character" w:customStyle="1" w:styleId="SLIKACharChar">
    <w:name w:val="SLIKA Char Char"/>
    <w:link w:val="SLIKAChar0"/>
    <w:rPr>
      <w:rFonts w:ascii="Arial" w:eastAsia="Times New Roman" w:hAnsi="Arial" w:cs="Times New Roman"/>
      <w:i/>
      <w:sz w:val="22"/>
      <w:lang w:eastAsia="hr-HR"/>
    </w:rPr>
  </w:style>
  <w:style w:type="paragraph" w:customStyle="1" w:styleId="Naslovmala">
    <w:name w:val="Naslov mala"/>
    <w:basedOn w:val="Normal"/>
    <w:next w:val="BodyText1"/>
    <w:uiPriority w:val="99"/>
    <w:semiHidden/>
    <w:rPr>
      <w:rFonts w:ascii="Arial" w:eastAsia="Times New Roman" w:hAnsi="Arial" w:cs="Times New Roman"/>
      <w:b/>
      <w:lang w:eastAsia="hr-HR"/>
    </w:rPr>
  </w:style>
  <w:style w:type="paragraph" w:customStyle="1" w:styleId="JASMINA2">
    <w:name w:val="JASMINA 2"/>
    <w:basedOn w:val="Normal"/>
    <w:uiPriority w:val="99"/>
    <w:semiHidden/>
    <w:rPr>
      <w:rFonts w:ascii="Arial" w:eastAsia="Times New Roman" w:hAnsi="Arial" w:cs="Times New Roman"/>
      <w:lang w:eastAsia="hr-HR"/>
    </w:rPr>
  </w:style>
  <w:style w:type="paragraph" w:customStyle="1" w:styleId="JASMINA3">
    <w:name w:val="JASMINA 3"/>
    <w:basedOn w:val="Normal"/>
    <w:uiPriority w:val="99"/>
    <w:semiHidden/>
    <w:rPr>
      <w:rFonts w:ascii="Arial" w:eastAsia="Times New Roman" w:hAnsi="Arial" w:cs="Times New Roman"/>
      <w:lang w:eastAsia="hr-HR"/>
    </w:rPr>
  </w:style>
  <w:style w:type="paragraph" w:customStyle="1" w:styleId="Jasmina4">
    <w:name w:val="Jasmina 4"/>
    <w:basedOn w:val="Normal"/>
    <w:uiPriority w:val="99"/>
    <w:semiHidden/>
    <w:rPr>
      <w:rFonts w:ascii="Arial" w:eastAsia="Times New Roman" w:hAnsi="Arial" w:cs="Times New Roman"/>
      <w:lang w:eastAsia="hr-HR"/>
    </w:rPr>
  </w:style>
  <w:style w:type="paragraph" w:styleId="Index1">
    <w:name w:val="index 1"/>
    <w:basedOn w:val="Normal"/>
    <w:next w:val="Normal"/>
    <w:uiPriority w:val="99"/>
    <w:pPr>
      <w:ind w:left="220" w:hanging="220"/>
    </w:pPr>
    <w:rPr>
      <w:rFonts w:ascii="Arial" w:eastAsia="Times New Roman" w:hAnsi="Arial" w:cs="Times New Roman"/>
      <w:lang w:eastAsia="hr-HR"/>
    </w:rPr>
  </w:style>
  <w:style w:type="paragraph" w:customStyle="1" w:styleId="ReferencesCitation">
    <w:name w:val="References Citation"/>
    <w:uiPriority w:val="99"/>
    <w:semiHidden/>
    <w:pPr>
      <w:tabs>
        <w:tab w:val="left" w:pos="360"/>
      </w:tabs>
      <w:spacing w:after="0" w:line="240" w:lineRule="auto"/>
      <w:ind w:left="340" w:hanging="340"/>
    </w:pPr>
    <w:rPr>
      <w:rFonts w:ascii="Times New Roman" w:eastAsia="Times New Roman" w:hAnsi="Times New Roman" w:cs="Times New Roman"/>
      <w:lang w:val="en-GB"/>
    </w:rPr>
  </w:style>
  <w:style w:type="paragraph" w:customStyle="1" w:styleId="TABLICACharChar2">
    <w:name w:val="TABLICA Char Char2"/>
    <w:basedOn w:val="Normal"/>
    <w:next w:val="BodyText1"/>
    <w:link w:val="TABLICACharCharChar"/>
    <w:pPr>
      <w:outlineLvl w:val="6"/>
    </w:pPr>
    <w:rPr>
      <w:rFonts w:ascii="Arial" w:eastAsia="Times New Roman" w:hAnsi="Arial" w:cs="Times New Roman"/>
      <w:i/>
    </w:rPr>
  </w:style>
  <w:style w:type="character" w:customStyle="1" w:styleId="TABLICACharCharChar">
    <w:name w:val="TABLICA Char Char Char"/>
    <w:link w:val="TABLICACharChar2"/>
    <w:rPr>
      <w:rFonts w:ascii="Arial" w:eastAsia="Times New Roman" w:hAnsi="Arial" w:cs="Times New Roman"/>
      <w:i/>
      <w:sz w:val="22"/>
    </w:rPr>
  </w:style>
  <w:style w:type="character" w:styleId="FollowedHyperlink">
    <w:name w:val="FollowedHyperlink"/>
    <w:uiPriority w:val="99"/>
    <w:rPr>
      <w:color w:val="800080"/>
      <w:u w:val="single"/>
    </w:rPr>
  </w:style>
  <w:style w:type="paragraph" w:customStyle="1" w:styleId="NASLOVPOGLAVLJA">
    <w:name w:val="NASLOV POGLAVLJA"/>
    <w:basedOn w:val="Normal"/>
    <w:uiPriority w:val="99"/>
    <w:rPr>
      <w:rFonts w:ascii="Arial" w:eastAsia="Times New Roman" w:hAnsi="Arial" w:cs="Times New Roman"/>
      <w:lang w:eastAsia="hr-HR"/>
    </w:rPr>
  </w:style>
  <w:style w:type="paragraph" w:customStyle="1" w:styleId="PRVIPODNASLOVPOGLAVLJA">
    <w:name w:val="PRVI PODNASLOV POGLAVLJA"/>
    <w:basedOn w:val="Normal"/>
    <w:uiPriority w:val="99"/>
    <w:semiHidden/>
    <w:rPr>
      <w:rFonts w:ascii="Arial" w:eastAsia="Times New Roman" w:hAnsi="Arial" w:cs="Times New Roman"/>
      <w:lang w:eastAsia="hr-HR"/>
    </w:rPr>
  </w:style>
  <w:style w:type="paragraph" w:customStyle="1" w:styleId="DRUGIPODNASLOVPOGLAVLJA">
    <w:name w:val="DRUGI PODNASLOV POGLAVLJA"/>
    <w:basedOn w:val="Normal"/>
    <w:uiPriority w:val="99"/>
    <w:semiHidden/>
    <w:rPr>
      <w:rFonts w:ascii="Arial" w:eastAsia="Times New Roman" w:hAnsi="Arial" w:cs="Times New Roman"/>
      <w:lang w:eastAsia="hr-HR"/>
    </w:rPr>
  </w:style>
  <w:style w:type="paragraph" w:customStyle="1" w:styleId="Treipodnaslovpoglavlja">
    <w:name w:val="Treći podnaslov poglavlja"/>
    <w:basedOn w:val="Normal"/>
    <w:uiPriority w:val="99"/>
    <w:semiHidden/>
    <w:rPr>
      <w:rFonts w:ascii="Arial" w:eastAsia="Times New Roman" w:hAnsi="Arial" w:cs="Times New Roman"/>
      <w:lang w:eastAsia="hr-HR"/>
    </w:rPr>
  </w:style>
  <w:style w:type="paragraph" w:customStyle="1" w:styleId="SUMMARY1">
    <w:name w:val="SUMMARY 1"/>
    <w:basedOn w:val="NASLOV14"/>
    <w:next w:val="Normal"/>
    <w:uiPriority w:val="99"/>
    <w:pPr>
      <w:numPr>
        <w:numId w:val="0"/>
      </w:numPr>
    </w:pPr>
  </w:style>
  <w:style w:type="paragraph" w:customStyle="1" w:styleId="SUMMARY2Char">
    <w:name w:val="SUMMARY 2 Char"/>
    <w:basedOn w:val="NASLOV12Char"/>
    <w:next w:val="PlainText"/>
    <w:link w:val="SUMMARY2CharChar"/>
    <w:pPr>
      <w:ind w:left="0"/>
    </w:pPr>
  </w:style>
  <w:style w:type="character" w:customStyle="1" w:styleId="SUMMARY2CharChar">
    <w:name w:val="SUMMARY 2 Char Char"/>
    <w:link w:val="SUMMARY2Char"/>
    <w:rPr>
      <w:rFonts w:ascii="Arial" w:eastAsia="Times New Roman" w:hAnsi="Arial" w:cs="Times New Roman"/>
      <w:b/>
      <w:caps/>
      <w:sz w:val="22"/>
      <w:szCs w:val="24"/>
    </w:rPr>
  </w:style>
  <w:style w:type="paragraph" w:customStyle="1" w:styleId="SUMMARY3">
    <w:name w:val="SUMMARY 3"/>
    <w:basedOn w:val="NASLOV11"/>
    <w:next w:val="PlainText"/>
    <w:uiPriority w:val="99"/>
  </w:style>
  <w:style w:type="paragraph" w:customStyle="1" w:styleId="SUMMARY4">
    <w:name w:val="SUMMARY 4"/>
    <w:basedOn w:val="Heading1"/>
    <w:next w:val="PlainText"/>
    <w:uiPriority w:val="99"/>
    <w:rPr>
      <w:rFonts w:ascii="Arial" w:eastAsia="Times New Roman" w:hAnsi="Arial"/>
      <w:b w:val="0"/>
      <w:sz w:val="24"/>
    </w:rPr>
  </w:style>
  <w:style w:type="paragraph" w:customStyle="1" w:styleId="a">
    <w:name w:val="табл"/>
    <w:basedOn w:val="Normal"/>
    <w:uiPriority w:val="99"/>
    <w:semiHidden/>
    <w:rPr>
      <w:rFonts w:ascii="Palatino Linotype" w:eastAsia="Times New Roman" w:hAnsi="Palatino Linotype" w:cs="Times New Roman"/>
      <w:sz w:val="16"/>
      <w:szCs w:val="16"/>
      <w:lang w:val="en-US" w:eastAsia="ru-RU"/>
    </w:rPr>
  </w:style>
  <w:style w:type="paragraph" w:customStyle="1" w:styleId="10pt">
    <w:name w:val="Стиль табл + 10 pt"/>
    <w:basedOn w:val="a"/>
    <w:uiPriority w:val="99"/>
    <w:semiHidden/>
    <w:rPr>
      <w:sz w:val="20"/>
    </w:rPr>
  </w:style>
  <w:style w:type="paragraph" w:styleId="Index2">
    <w:name w:val="index 2"/>
    <w:basedOn w:val="Normal"/>
    <w:next w:val="Normal"/>
    <w:uiPriority w:val="99"/>
    <w:pPr>
      <w:ind w:left="440" w:hanging="220"/>
    </w:pPr>
    <w:rPr>
      <w:rFonts w:ascii="Arial" w:eastAsia="Times New Roman" w:hAnsi="Arial" w:cs="Times New Roman"/>
      <w:lang w:eastAsia="hr-HR"/>
    </w:rPr>
  </w:style>
  <w:style w:type="paragraph" w:styleId="Index3">
    <w:name w:val="index 3"/>
    <w:basedOn w:val="Normal"/>
    <w:next w:val="Normal"/>
    <w:uiPriority w:val="99"/>
    <w:pPr>
      <w:ind w:left="660" w:hanging="220"/>
    </w:pPr>
    <w:rPr>
      <w:rFonts w:ascii="Arial" w:eastAsia="Times New Roman" w:hAnsi="Arial" w:cs="Times New Roman"/>
      <w:lang w:eastAsia="hr-HR"/>
    </w:rPr>
  </w:style>
  <w:style w:type="paragraph" w:styleId="Index4">
    <w:name w:val="index 4"/>
    <w:basedOn w:val="Normal"/>
    <w:next w:val="Normal"/>
    <w:uiPriority w:val="99"/>
    <w:pPr>
      <w:ind w:left="880" w:hanging="220"/>
    </w:pPr>
    <w:rPr>
      <w:rFonts w:ascii="Arial" w:eastAsia="Times New Roman" w:hAnsi="Arial" w:cs="Times New Roman"/>
      <w:lang w:eastAsia="hr-HR"/>
    </w:rPr>
  </w:style>
  <w:style w:type="paragraph" w:styleId="Index5">
    <w:name w:val="index 5"/>
    <w:basedOn w:val="Normal"/>
    <w:next w:val="Normal"/>
    <w:uiPriority w:val="99"/>
    <w:pPr>
      <w:ind w:left="1100" w:hanging="220"/>
    </w:pPr>
    <w:rPr>
      <w:rFonts w:ascii="Arial" w:eastAsia="Times New Roman" w:hAnsi="Arial" w:cs="Times New Roman"/>
      <w:lang w:eastAsia="hr-HR"/>
    </w:rPr>
  </w:style>
  <w:style w:type="paragraph" w:styleId="Index6">
    <w:name w:val="index 6"/>
    <w:basedOn w:val="Normal"/>
    <w:next w:val="Normal"/>
    <w:uiPriority w:val="99"/>
    <w:pPr>
      <w:ind w:left="1320" w:hanging="220"/>
    </w:pPr>
    <w:rPr>
      <w:rFonts w:ascii="Arial" w:eastAsia="Times New Roman" w:hAnsi="Arial" w:cs="Times New Roman"/>
      <w:lang w:eastAsia="hr-HR"/>
    </w:rPr>
  </w:style>
  <w:style w:type="paragraph" w:styleId="Index7">
    <w:name w:val="index 7"/>
    <w:basedOn w:val="Normal"/>
    <w:next w:val="Normal"/>
    <w:uiPriority w:val="99"/>
    <w:pPr>
      <w:ind w:left="1540" w:hanging="220"/>
    </w:pPr>
    <w:rPr>
      <w:rFonts w:ascii="Arial" w:eastAsia="Times New Roman" w:hAnsi="Arial" w:cs="Times New Roman"/>
      <w:lang w:eastAsia="hr-HR"/>
    </w:rPr>
  </w:style>
  <w:style w:type="paragraph" w:styleId="Index8">
    <w:name w:val="index 8"/>
    <w:basedOn w:val="Normal"/>
    <w:next w:val="Normal"/>
    <w:uiPriority w:val="99"/>
    <w:pPr>
      <w:ind w:left="1760" w:hanging="220"/>
    </w:pPr>
    <w:rPr>
      <w:rFonts w:ascii="Arial" w:eastAsia="Times New Roman" w:hAnsi="Arial" w:cs="Times New Roman"/>
      <w:lang w:eastAsia="hr-HR"/>
    </w:rPr>
  </w:style>
  <w:style w:type="paragraph" w:styleId="Index9">
    <w:name w:val="index 9"/>
    <w:basedOn w:val="Normal"/>
    <w:next w:val="Normal"/>
    <w:uiPriority w:val="99"/>
    <w:pPr>
      <w:ind w:left="1980" w:hanging="220"/>
    </w:pPr>
    <w:rPr>
      <w:rFonts w:ascii="Arial" w:eastAsia="Times New Roman" w:hAnsi="Arial" w:cs="Times New Roman"/>
      <w:lang w:eastAsia="hr-HR"/>
    </w:rPr>
  </w:style>
  <w:style w:type="paragraph" w:styleId="DocumentMap">
    <w:name w:val="Document Map"/>
    <w:basedOn w:val="Normal"/>
    <w:link w:val="DocumentMapChar"/>
    <w:uiPriority w:val="99"/>
    <w:pPr>
      <w:shd w:val="clear" w:color="auto" w:fill="000080"/>
    </w:pPr>
    <w:rPr>
      <w:rFonts w:ascii="Tahoma" w:eastAsia="Times New Roman" w:hAnsi="Tahoma" w:cs="Times New Roman"/>
    </w:rPr>
  </w:style>
  <w:style w:type="character" w:customStyle="1" w:styleId="DocumentMapChar">
    <w:name w:val="Document Map Char"/>
    <w:basedOn w:val="DefaultParagraphFont"/>
    <w:link w:val="DocumentMap"/>
    <w:uiPriority w:val="99"/>
    <w:rPr>
      <w:rFonts w:ascii="Tahoma" w:eastAsia="Times New Roman" w:hAnsi="Tahoma" w:cs="Times New Roman"/>
      <w:sz w:val="22"/>
      <w:shd w:val="clear" w:color="auto" w:fill="000080"/>
    </w:rPr>
  </w:style>
  <w:style w:type="paragraph" w:styleId="IndexHeading">
    <w:name w:val="index heading"/>
    <w:basedOn w:val="Normal"/>
    <w:next w:val="Index1"/>
    <w:uiPriority w:val="99"/>
    <w:rPr>
      <w:rFonts w:ascii="Arial" w:eastAsia="Times New Roman" w:hAnsi="Arial" w:cs="Arial"/>
      <w:b/>
      <w:bCs/>
      <w:lang w:eastAsia="hr-HR"/>
    </w:rPr>
  </w:style>
  <w:style w:type="paragraph" w:styleId="TOAHeading">
    <w:name w:val="toa heading"/>
    <w:basedOn w:val="Normal"/>
    <w:next w:val="Normal"/>
    <w:uiPriority w:val="99"/>
    <w:pPr>
      <w:spacing w:before="120"/>
    </w:pPr>
    <w:rPr>
      <w:rFonts w:ascii="Arial" w:eastAsia="Times New Roman" w:hAnsi="Arial" w:cs="Arial"/>
      <w:b/>
      <w:bCs/>
      <w:szCs w:val="24"/>
      <w:lang w:eastAsia="hr-HR"/>
    </w:rPr>
  </w:style>
  <w:style w:type="paragraph" w:styleId="TableofAuthorities">
    <w:name w:val="table of authorities"/>
    <w:basedOn w:val="Normal"/>
    <w:next w:val="Normal"/>
    <w:uiPriority w:val="99"/>
    <w:pPr>
      <w:ind w:left="220" w:hanging="220"/>
    </w:pPr>
    <w:rPr>
      <w:rFonts w:ascii="Arial" w:eastAsia="Times New Roman" w:hAnsi="Arial" w:cs="Times New Roman"/>
      <w:lang w:eastAsia="hr-HR"/>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lang w:val="en-GB" w:eastAsia="hr-HR"/>
    </w:rPr>
  </w:style>
  <w:style w:type="character" w:customStyle="1" w:styleId="MacroTextChar">
    <w:name w:val="Macro Text Char"/>
    <w:basedOn w:val="DefaultParagraphFont"/>
    <w:link w:val="MacroText"/>
    <w:uiPriority w:val="99"/>
    <w:rPr>
      <w:rFonts w:ascii="Courier New" w:eastAsia="Times New Roman" w:hAnsi="Courier New" w:cs="Courier New"/>
      <w:lang w:val="en-GB" w:eastAsia="hr-HR"/>
    </w:rPr>
  </w:style>
  <w:style w:type="paragraph" w:customStyle="1" w:styleId="SLIKA0">
    <w:name w:val="SLIKA"/>
    <w:basedOn w:val="Normal"/>
    <w:next w:val="BodyText1"/>
    <w:link w:val="SLIKAChar1"/>
    <w:uiPriority w:val="99"/>
    <w:pPr>
      <w:jc w:val="center"/>
    </w:pPr>
    <w:rPr>
      <w:rFonts w:ascii="Arial" w:eastAsia="Times New Roman" w:hAnsi="Arial" w:cs="Times New Roman"/>
      <w:i/>
    </w:rPr>
  </w:style>
  <w:style w:type="character" w:customStyle="1" w:styleId="SLIKAChar1">
    <w:name w:val="SLIKA Char1"/>
    <w:link w:val="SLIKA0"/>
    <w:uiPriority w:val="99"/>
    <w:rPr>
      <w:rFonts w:ascii="Arial" w:eastAsia="Times New Roman" w:hAnsi="Arial" w:cs="Times New Roman"/>
      <w:i/>
      <w:sz w:val="22"/>
    </w:rPr>
  </w:style>
  <w:style w:type="paragraph" w:customStyle="1" w:styleId="ListParagraph1">
    <w:name w:val="List Paragraph1"/>
    <w:basedOn w:val="Normal"/>
    <w:uiPriority w:val="99"/>
    <w:pPr>
      <w:ind w:left="720"/>
    </w:pPr>
    <w:rPr>
      <w:rFonts w:ascii="Arial" w:eastAsia="Times New Roman" w:hAnsi="Arial" w:cs="Times New Roman"/>
      <w:lang w:eastAsia="hr-HR"/>
    </w:rPr>
  </w:style>
  <w:style w:type="paragraph" w:customStyle="1" w:styleId="Slike">
    <w:name w:val="Slike"/>
    <w:basedOn w:val="Normal"/>
    <w:uiPriority w:val="99"/>
    <w:pPr>
      <w:jc w:val="center"/>
    </w:pPr>
    <w:rPr>
      <w:rFonts w:ascii="Arial" w:eastAsia="Times New Roman" w:hAnsi="Arial" w:cs="Times New Roman"/>
      <w:i/>
      <w:color w:val="000000"/>
      <w:lang w:val="pt-PT"/>
    </w:rPr>
  </w:style>
  <w:style w:type="paragraph" w:customStyle="1" w:styleId="RegHead1">
    <w:name w:val="RegHead1"/>
    <w:basedOn w:val="Normal"/>
    <w:next w:val="RegHead2"/>
    <w:uiPriority w:val="99"/>
    <w:pPr>
      <w:keepNext/>
      <w:spacing w:before="180"/>
      <w:jc w:val="center"/>
    </w:pPr>
    <w:rPr>
      <w:rFonts w:ascii="Palatino Linotype" w:eastAsia="Times New Roman" w:hAnsi="Palatino Linotype" w:cs="Times New Roman"/>
      <w:b/>
      <w:sz w:val="28"/>
      <w:lang w:eastAsia="de-DE"/>
    </w:rPr>
  </w:style>
  <w:style w:type="paragraph" w:customStyle="1" w:styleId="RegHead2">
    <w:name w:val="RegHead2"/>
    <w:basedOn w:val="Normal"/>
    <w:next w:val="RegHead3"/>
    <w:uiPriority w:val="99"/>
    <w:pPr>
      <w:keepNext/>
      <w:spacing w:before="180"/>
      <w:jc w:val="center"/>
    </w:pPr>
    <w:rPr>
      <w:rFonts w:ascii="Palatino Linotype" w:eastAsia="Times New Roman" w:hAnsi="Palatino Linotype" w:cs="Times New Roman"/>
      <w:b/>
      <w:lang w:eastAsia="de-DE"/>
    </w:rPr>
  </w:style>
  <w:style w:type="paragraph" w:customStyle="1" w:styleId="RegHead3">
    <w:name w:val="RegHead3"/>
    <w:basedOn w:val="Normal"/>
    <w:next w:val="RegPara"/>
    <w:uiPriority w:val="99"/>
    <w:pPr>
      <w:spacing w:before="180"/>
      <w:jc w:val="center"/>
    </w:pPr>
    <w:rPr>
      <w:rFonts w:ascii="Palatino Linotype" w:eastAsia="Times New Roman" w:hAnsi="Palatino Linotype" w:cs="Times New Roman"/>
      <w:u w:val="single"/>
      <w:lang w:eastAsia="de-DE"/>
    </w:rPr>
  </w:style>
  <w:style w:type="paragraph" w:customStyle="1" w:styleId="RegPara">
    <w:name w:val="RegPara"/>
    <w:basedOn w:val="Normal"/>
    <w:uiPriority w:val="99"/>
    <w:pPr>
      <w:tabs>
        <w:tab w:val="left" w:pos="360"/>
      </w:tabs>
      <w:spacing w:before="180"/>
    </w:pPr>
    <w:rPr>
      <w:rFonts w:ascii="Palatino Linotype" w:eastAsia="Times New Roman" w:hAnsi="Palatino Linotype" w:cs="Times New Roman"/>
      <w:lang w:eastAsia="de-DE"/>
    </w:rPr>
  </w:style>
  <w:style w:type="paragraph" w:customStyle="1" w:styleId="NASLOVSTUDIJE">
    <w:name w:val="NASLOV STUDIJE"/>
    <w:basedOn w:val="Normal"/>
    <w:uiPriority w:val="99"/>
    <w:pPr>
      <w:jc w:val="right"/>
    </w:pPr>
    <w:rPr>
      <w:rFonts w:ascii="Arial" w:eastAsia="MS Mincho" w:hAnsi="Arial" w:cs="Times New Roman"/>
      <w:b/>
      <w:bCs/>
      <w:sz w:val="32"/>
      <w:lang w:eastAsia="ja-JP"/>
    </w:rPr>
  </w:style>
  <w:style w:type="paragraph" w:customStyle="1" w:styleId="NASLOV12">
    <w:name w:val="NASLOV 12"/>
    <w:basedOn w:val="Normal"/>
    <w:next w:val="BodyText"/>
    <w:uiPriority w:val="99"/>
    <w:pPr>
      <w:tabs>
        <w:tab w:val="left" w:pos="284"/>
        <w:tab w:val="left" w:pos="1440"/>
      </w:tabs>
      <w:ind w:left="1440" w:hanging="360"/>
      <w:outlineLvl w:val="1"/>
    </w:pPr>
    <w:rPr>
      <w:rFonts w:ascii="Arial" w:eastAsia="Times New Roman" w:hAnsi="Arial" w:cs="Times New Roman"/>
      <w:b/>
      <w:caps/>
      <w:szCs w:val="24"/>
    </w:rPr>
  </w:style>
  <w:style w:type="character" w:customStyle="1" w:styleId="TABLICACharCharChar1">
    <w:name w:val="TABLICA Char Char Char1"/>
    <w:rPr>
      <w:rFonts w:ascii="Arial" w:hAnsi="Arial"/>
      <w:i/>
      <w:sz w:val="22"/>
      <w:lang w:val="en-GB" w:eastAsia="en-US" w:bidi="ar-SA"/>
    </w:rPr>
  </w:style>
  <w:style w:type="paragraph" w:customStyle="1" w:styleId="SUMMARY2">
    <w:name w:val="SUMMARY 2"/>
    <w:basedOn w:val="NASLOV12"/>
    <w:next w:val="PlainText"/>
    <w:uiPriority w:val="99"/>
    <w:pPr>
      <w:tabs>
        <w:tab w:val="clear" w:pos="1440"/>
      </w:tabs>
      <w:ind w:left="0" w:firstLine="0"/>
    </w:pPr>
    <w:rPr>
      <w:lang w:eastAsia="hr-HR"/>
    </w:rPr>
  </w:style>
  <w:style w:type="paragraph" w:customStyle="1" w:styleId="CharChar1CharChar1">
    <w:name w:val="Char Char1 Char Char1"/>
    <w:basedOn w:val="Normal"/>
    <w:next w:val="Normal"/>
    <w:uiPriority w:val="99"/>
    <w:semiHidden/>
    <w:pPr>
      <w:spacing w:line="240" w:lineRule="exact"/>
    </w:pPr>
    <w:rPr>
      <w:rFonts w:ascii="Tahoma" w:eastAsia="Times New Roman" w:hAnsi="Tahoma" w:cs="Times New Roman"/>
      <w:lang w:val="en-US"/>
    </w:rPr>
  </w:style>
  <w:style w:type="paragraph" w:customStyle="1" w:styleId="CharCharCharCharCharCharCharCharChar">
    <w:name w:val="Char Char Char Char Char Char Char Char Char"/>
    <w:basedOn w:val="Normal"/>
    <w:uiPriority w:val="99"/>
    <w:semiHidden/>
    <w:pPr>
      <w:spacing w:line="240" w:lineRule="exact"/>
    </w:pPr>
    <w:rPr>
      <w:rFonts w:ascii="Tahoma" w:eastAsia="Times New Roman" w:hAnsi="Tahoma" w:cs="Times New Roman"/>
      <w:lang w:val="en-US"/>
    </w:rPr>
  </w:style>
  <w:style w:type="paragraph" w:customStyle="1" w:styleId="CharCharCharCharCharCharChar">
    <w:name w:val="Char Char Char Char Char Char Char"/>
    <w:basedOn w:val="Normal"/>
    <w:uiPriority w:val="99"/>
    <w:semiHidden/>
    <w:pPr>
      <w:spacing w:line="240" w:lineRule="exact"/>
    </w:pPr>
    <w:rPr>
      <w:rFonts w:ascii="Tahoma" w:eastAsia="Times New Roman" w:hAnsi="Tahoma" w:cs="Times New Roman"/>
      <w:lang w:val="en-US"/>
    </w:rPr>
  </w:style>
  <w:style w:type="paragraph" w:customStyle="1" w:styleId="Odlomak">
    <w:name w:val="Odlomak"/>
    <w:basedOn w:val="BodyText"/>
    <w:link w:val="OdlomakChar"/>
    <w:pPr>
      <w:numPr>
        <w:ilvl w:val="1"/>
      </w:numPr>
      <w:tabs>
        <w:tab w:val="left" w:pos="360"/>
        <w:tab w:val="left" w:pos="412"/>
      </w:tabs>
    </w:pPr>
    <w:rPr>
      <w:rFonts w:ascii="Arial" w:eastAsia="Times New Roman" w:hAnsi="Arial" w:cs="Times New Roman"/>
    </w:rPr>
  </w:style>
  <w:style w:type="character" w:customStyle="1" w:styleId="OdlomakChar">
    <w:name w:val="Odlomak Char"/>
    <w:link w:val="Odlomak"/>
    <w:rPr>
      <w:rFonts w:ascii="Arial" w:eastAsia="Times New Roman" w:hAnsi="Arial" w:cs="Times New Roman"/>
      <w:sz w:val="22"/>
      <w:szCs w:val="22"/>
    </w:rPr>
  </w:style>
  <w:style w:type="table" w:styleId="LightList-Accent5">
    <w:name w:val="Light List Accent 5"/>
    <w:basedOn w:val="TableNormal"/>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PlaceholderText">
    <w:name w:val="Placeholder Text"/>
    <w:uiPriority w:val="99"/>
    <w:semiHidden/>
    <w:rPr>
      <w:color w:val="808080"/>
    </w:rPr>
  </w:style>
  <w:style w:type="paragraph" w:customStyle="1" w:styleId="Default">
    <w:name w:val="Default"/>
    <w:pPr>
      <w:spacing w:after="0" w:line="240" w:lineRule="auto"/>
    </w:pPr>
    <w:rPr>
      <w:rFonts w:ascii="Verdana" w:eastAsia="Times New Roman" w:hAnsi="Verdana" w:cs="Verdana"/>
      <w:color w:val="000000"/>
      <w:sz w:val="24"/>
      <w:szCs w:val="24"/>
      <w:lang w:eastAsia="hr-HR"/>
    </w:rPr>
  </w:style>
  <w:style w:type="paragraph" w:customStyle="1" w:styleId="Podnaslovxx">
    <w:name w:val="Podnaslov x.x"/>
    <w:basedOn w:val="NASLOV12Char"/>
    <w:link w:val="PodnaslovxxChar"/>
    <w:rPr>
      <w:iCs/>
      <w:lang w:val="en-US"/>
    </w:rPr>
  </w:style>
  <w:style w:type="character" w:customStyle="1" w:styleId="PodnaslovxxChar">
    <w:name w:val="Podnaslov x.x Char"/>
    <w:link w:val="Podnaslovxx"/>
    <w:rPr>
      <w:rFonts w:ascii="Arial" w:eastAsia="Times New Roman" w:hAnsi="Arial" w:cs="Times New Roman"/>
      <w:b/>
      <w:iCs/>
      <w:caps/>
      <w:sz w:val="22"/>
      <w:szCs w:val="24"/>
      <w:lang w:val="en-US"/>
    </w:rPr>
  </w:style>
  <w:style w:type="paragraph" w:customStyle="1" w:styleId="Naslov30">
    <w:name w:val="Naslov3"/>
    <w:basedOn w:val="NASLOV14"/>
    <w:uiPriority w:val="99"/>
  </w:style>
  <w:style w:type="character" w:customStyle="1" w:styleId="TitleChar">
    <w:name w:val="Title Char"/>
    <w:basedOn w:val="DefaultParagraphFont"/>
    <w:link w:val="Title"/>
    <w:uiPriority w:val="10"/>
    <w:rPr>
      <w:rFonts w:ascii="Calibri Light" w:eastAsia="Calibri Light" w:hAnsi="Calibri Light" w:cs="Calibri Light"/>
      <w:b/>
      <w:bCs/>
      <w:spacing w:val="-7"/>
      <w:sz w:val="48"/>
      <w:szCs w:val="48"/>
    </w:rPr>
  </w:style>
  <w:style w:type="table" w:styleId="LightShading-Accent3">
    <w:name w:val="Light Shading Accent 3"/>
    <w:basedOn w:val="TableNormal"/>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paragraph" w:styleId="Revision">
    <w:name w:val="Revision"/>
    <w:hidden/>
    <w:uiPriority w:val="99"/>
    <w:semiHidden/>
    <w:pPr>
      <w:spacing w:after="0" w:line="240" w:lineRule="auto"/>
    </w:pPr>
    <w:rPr>
      <w:rFonts w:ascii="Arial" w:eastAsia="Times New Roman" w:hAnsi="Arial" w:cs="Times New Roman"/>
      <w:lang w:val="en-GB" w:eastAsia="hr-HR"/>
    </w:rPr>
  </w:style>
  <w:style w:type="table" w:styleId="MediumShading1-Accent6">
    <w:name w:val="Medium Shading 1 Accent 6"/>
    <w:basedOn w:val="TableNormal"/>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paragraph" w:customStyle="1" w:styleId="mojaSlika">
    <w:name w:val="mojaSlika"/>
    <w:next w:val="Normal"/>
    <w:uiPriority w:val="99"/>
    <w:pPr>
      <w:spacing w:after="0" w:line="300" w:lineRule="atLeast"/>
      <w:jc w:val="center"/>
    </w:pPr>
    <w:rPr>
      <w:rFonts w:ascii="Arial" w:eastAsia="Times New Roman" w:hAnsi="Arial" w:cs="Times New Roman"/>
      <w:i/>
      <w:szCs w:val="24"/>
      <w:lang w:eastAsia="hr-HR"/>
    </w:rPr>
  </w:style>
  <w:style w:type="character" w:customStyle="1" w:styleId="Char23">
    <w:name w:val="Char23"/>
    <w:rPr>
      <w:rFonts w:ascii="Arial" w:hAnsi="Arial"/>
      <w:b/>
      <w:sz w:val="22"/>
      <w:lang w:val="en-US"/>
    </w:rPr>
  </w:style>
  <w:style w:type="character" w:customStyle="1" w:styleId="Char22">
    <w:name w:val="Char22"/>
    <w:rPr>
      <w:rFonts w:ascii="Arial" w:hAnsi="Arial"/>
      <w:b/>
      <w:sz w:val="40"/>
    </w:rPr>
  </w:style>
  <w:style w:type="paragraph" w:customStyle="1" w:styleId="BodyText11">
    <w:name w:val="Body Text11"/>
    <w:uiPriority w:val="99"/>
    <w:pPr>
      <w:spacing w:after="80" w:line="240" w:lineRule="auto"/>
    </w:pPr>
    <w:rPr>
      <w:rFonts w:ascii="GarmdITC Bk BT" w:eastAsia="Times New Roman" w:hAnsi="GarmdITC Bk BT" w:cs="Times New Roman"/>
      <w:sz w:val="21"/>
      <w:lang w:eastAsia="hr-HR"/>
    </w:rPr>
  </w:style>
  <w:style w:type="character" w:customStyle="1" w:styleId="shorttext">
    <w:name w:val="short_text"/>
  </w:style>
  <w:style w:type="character" w:customStyle="1" w:styleId="atn">
    <w:name w:val="atn"/>
  </w:style>
  <w:style w:type="paragraph" w:customStyle="1" w:styleId="Trecipodnaslovpoglavlja">
    <w:name w:val="Treci podnaslov poglavlja"/>
    <w:basedOn w:val="DRUGIPODNASLOVPOGLAVLJA"/>
    <w:uiPriority w:val="99"/>
    <w:pPr>
      <w:spacing w:line="400" w:lineRule="exact"/>
    </w:pPr>
    <w:rPr>
      <w:b/>
    </w:rPr>
  </w:style>
  <w:style w:type="paragraph" w:customStyle="1" w:styleId="Slikeitablica">
    <w:name w:val="Slike i tablica"/>
    <w:basedOn w:val="tekst0"/>
    <w:uiPriority w:val="99"/>
    <w:pPr>
      <w:shd w:val="clear" w:color="auto" w:fill="auto"/>
      <w:spacing w:before="0" w:beforeAutospacing="0" w:after="0" w:afterAutospacing="0" w:line="280" w:lineRule="exact"/>
      <w:jc w:val="center"/>
    </w:pPr>
    <w:rPr>
      <w:rFonts w:cs="Times New Roman"/>
      <w:i/>
      <w:color w:val="auto"/>
      <w:sz w:val="22"/>
      <w:szCs w:val="22"/>
      <w:lang w:val="en-GB"/>
    </w:rPr>
  </w:style>
  <w:style w:type="character" w:customStyle="1" w:styleId="longtext">
    <w:name w:val="long_text"/>
    <w:uiPriority w:val="99"/>
  </w:style>
  <w:style w:type="paragraph" w:customStyle="1" w:styleId="Peruskpl">
    <w:name w:val="Peruskpl"/>
    <w:basedOn w:val="Normal"/>
    <w:uiPriority w:val="99"/>
    <w:pPr>
      <w:tabs>
        <w:tab w:val="left" w:pos="432"/>
        <w:tab w:val="left" w:pos="864"/>
        <w:tab w:val="left" w:pos="2592"/>
        <w:tab w:val="left" w:pos="3024"/>
        <w:tab w:val="left" w:pos="3456"/>
      </w:tabs>
      <w:spacing w:before="240" w:line="240" w:lineRule="atLeast"/>
      <w:ind w:left="2591"/>
    </w:pPr>
    <w:rPr>
      <w:rFonts w:ascii="Palatino Linotype" w:eastAsia="Times New Roman" w:hAnsi="Palatino Linotype" w:cs="Times New Roman"/>
      <w:lang w:eastAsia="fi-FI"/>
    </w:rPr>
  </w:style>
  <w:style w:type="paragraph" w:customStyle="1" w:styleId="CharChar1CharChar11">
    <w:name w:val="Char Char1 Char Char11"/>
    <w:basedOn w:val="Normal"/>
    <w:next w:val="Normal"/>
    <w:uiPriority w:val="99"/>
    <w:semiHidden/>
    <w:pPr>
      <w:spacing w:line="240" w:lineRule="exact"/>
    </w:pPr>
    <w:rPr>
      <w:rFonts w:ascii="Tahoma" w:eastAsia="Times New Roman" w:hAnsi="Tahoma" w:cs="Times New Roman"/>
      <w:lang w:val="en-US"/>
    </w:rPr>
  </w:style>
  <w:style w:type="paragraph" w:customStyle="1" w:styleId="CharCharCharCharCharCharCharCharChar1">
    <w:name w:val="Char Char Char Char Char Char Char Char Char1"/>
    <w:basedOn w:val="Normal"/>
    <w:uiPriority w:val="99"/>
    <w:semiHidden/>
    <w:pPr>
      <w:spacing w:line="240" w:lineRule="exact"/>
    </w:pPr>
    <w:rPr>
      <w:rFonts w:ascii="Tahoma" w:eastAsia="Times New Roman" w:hAnsi="Tahoma" w:cs="Times New Roman"/>
      <w:lang w:val="en-US"/>
    </w:rPr>
  </w:style>
  <w:style w:type="paragraph" w:customStyle="1" w:styleId="CharChar11">
    <w:name w:val="Char Char11"/>
    <w:basedOn w:val="Normal"/>
    <w:uiPriority w:val="99"/>
    <w:semiHidden/>
    <w:pPr>
      <w:spacing w:line="240" w:lineRule="exact"/>
    </w:pPr>
    <w:rPr>
      <w:rFonts w:ascii="Tahoma" w:eastAsia="Times New Roman" w:hAnsi="Tahoma" w:cs="Times New Roman"/>
      <w:lang w:val="en-US"/>
    </w:rPr>
  </w:style>
  <w:style w:type="paragraph" w:customStyle="1" w:styleId="CharCharCharCharCharCharChar1">
    <w:name w:val="Char Char Char Char Char Char Char1"/>
    <w:basedOn w:val="Normal"/>
    <w:uiPriority w:val="99"/>
    <w:semiHidden/>
    <w:pPr>
      <w:spacing w:line="240" w:lineRule="exact"/>
    </w:pPr>
    <w:rPr>
      <w:rFonts w:ascii="Tahoma" w:eastAsia="Times New Roman" w:hAnsi="Tahoma" w:cs="Times New Roman"/>
      <w:lang w:val="en-US"/>
    </w:rPr>
  </w:style>
  <w:style w:type="character" w:customStyle="1" w:styleId="Char231">
    <w:name w:val="Char231"/>
    <w:rPr>
      <w:rFonts w:ascii="Arial" w:hAnsi="Arial"/>
      <w:b/>
      <w:sz w:val="22"/>
      <w:lang w:val="en-US"/>
    </w:rPr>
  </w:style>
  <w:style w:type="character" w:customStyle="1" w:styleId="Char221">
    <w:name w:val="Char221"/>
    <w:rPr>
      <w:rFonts w:ascii="Arial" w:hAnsi="Arial"/>
      <w:b/>
      <w:sz w:val="40"/>
    </w:rPr>
  </w:style>
  <w:style w:type="character" w:customStyle="1" w:styleId="BodyTextChar1">
    <w:name w:val="Body Text Char1"/>
    <w:uiPriority w:val="99"/>
    <w:semiHidden/>
    <w:rPr>
      <w:rFonts w:ascii="Arial" w:eastAsia="Times New Roman" w:hAnsi="Arial" w:cs="Times New Roman"/>
      <w:szCs w:val="20"/>
      <w:lang w:val="en-GB" w:eastAsia="hr-HR"/>
    </w:rPr>
  </w:style>
  <w:style w:type="paragraph" w:customStyle="1" w:styleId="Textkrper1">
    <w:name w:val="Textkörper1"/>
    <w:uiPriority w:val="99"/>
    <w:pPr>
      <w:spacing w:after="80" w:line="240" w:lineRule="auto"/>
    </w:pPr>
    <w:rPr>
      <w:rFonts w:ascii="GarmdITC Bk BT" w:eastAsia="Times New Roman" w:hAnsi="GarmdITC Bk BT" w:cs="Times New Roman"/>
      <w:sz w:val="21"/>
      <w:lang w:eastAsia="hr-HR"/>
    </w:rPr>
  </w:style>
  <w:style w:type="paragraph" w:customStyle="1" w:styleId="Naslov20">
    <w:name w:val="Naslov2"/>
    <w:basedOn w:val="NASLOV14"/>
    <w:uiPriority w:val="99"/>
  </w:style>
  <w:style w:type="character" w:customStyle="1" w:styleId="FootnoteTextChar1">
    <w:name w:val="Footnote Text Char1"/>
    <w:uiPriority w:val="99"/>
    <w:rPr>
      <w:rFonts w:ascii="Arial" w:eastAsia="Times New Roman" w:hAnsi="Arial" w:cs="Times New Roman"/>
      <w:sz w:val="20"/>
      <w:szCs w:val="20"/>
      <w:lang w:val="en-GB" w:eastAsia="hr-HR"/>
    </w:rPr>
  </w:style>
  <w:style w:type="character" w:customStyle="1" w:styleId="alt-edited1">
    <w:name w:val="alt-edited1"/>
    <w:rPr>
      <w:color w:val="4D90F0"/>
    </w:rPr>
  </w:style>
  <w:style w:type="paragraph" w:customStyle="1" w:styleId="Naslov4">
    <w:name w:val="Naslov4"/>
    <w:basedOn w:val="NASLOV14"/>
    <w:uiPriority w:val="99"/>
    <w:pPr>
      <w:numPr>
        <w:numId w:val="3"/>
      </w:numPr>
    </w:pPr>
  </w:style>
  <w:style w:type="character" w:customStyle="1" w:styleId="st1">
    <w:name w:val="st1"/>
  </w:style>
  <w:style w:type="table" w:customStyle="1" w:styleId="TableGrid10">
    <w:name w:val="Table Grid1"/>
    <w:basedOn w:val="TableNormal"/>
    <w:next w:val="TableGrid"/>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style>
  <w:style w:type="paragraph" w:customStyle="1" w:styleId="font5">
    <w:name w:val="font5"/>
    <w:basedOn w:val="Normal"/>
    <w:uiPriority w:val="99"/>
    <w:pPr>
      <w:spacing w:before="100" w:beforeAutospacing="1" w:after="100" w:afterAutospacing="1"/>
    </w:pPr>
    <w:rPr>
      <w:rFonts w:ascii="Palatino Linotype" w:eastAsia="Times New Roman" w:hAnsi="Palatino Linotype" w:cs="Times New Roman"/>
      <w:color w:val="000000"/>
      <w:lang w:eastAsia="hr-HR"/>
    </w:rPr>
  </w:style>
  <w:style w:type="paragraph" w:customStyle="1" w:styleId="xl65">
    <w:name w:val="xl65"/>
    <w:basedOn w:val="Normal"/>
    <w:uiPriority w:val="99"/>
    <w:pPr>
      <w:spacing w:before="100" w:beforeAutospacing="1" w:after="100" w:afterAutospacing="1"/>
    </w:pPr>
    <w:rPr>
      <w:rFonts w:ascii="Palatino Linotype" w:eastAsia="Times New Roman" w:hAnsi="Palatino Linotype" w:cs="Times New Roman"/>
      <w:lang w:eastAsia="hr-HR"/>
    </w:rPr>
  </w:style>
  <w:style w:type="paragraph" w:customStyle="1" w:styleId="xl66">
    <w:name w:val="xl66"/>
    <w:basedOn w:val="Normal"/>
    <w:uiPriority w:val="99"/>
    <w:pPr>
      <w:spacing w:before="100" w:beforeAutospacing="1" w:after="100" w:afterAutospacing="1"/>
    </w:pPr>
    <w:rPr>
      <w:rFonts w:ascii="Palatino Linotype" w:eastAsia="Times New Roman" w:hAnsi="Palatino Linotype" w:cs="Times New Roman"/>
      <w:lang w:eastAsia="hr-HR"/>
    </w:rPr>
  </w:style>
  <w:style w:type="paragraph" w:customStyle="1" w:styleId="xl67">
    <w:name w:val="xl67"/>
    <w:basedOn w:val="Normal"/>
    <w:uiPriority w:val="99"/>
    <w:pPr>
      <w:spacing w:before="100" w:beforeAutospacing="1" w:after="100" w:afterAutospacing="1"/>
    </w:pPr>
    <w:rPr>
      <w:rFonts w:ascii="Palatino Linotype" w:eastAsia="Times New Roman" w:hAnsi="Palatino Linotype" w:cs="Times New Roman"/>
      <w:b/>
      <w:bCs/>
      <w:color w:val="000000"/>
      <w:lang w:eastAsia="hr-HR"/>
    </w:rPr>
  </w:style>
  <w:style w:type="paragraph" w:customStyle="1" w:styleId="xl68">
    <w:name w:val="xl68"/>
    <w:basedOn w:val="Normal"/>
    <w:uiPriority w:val="99"/>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Palatino Linotype" w:eastAsia="Times New Roman" w:hAnsi="Palatino Linotype" w:cs="Times New Roman"/>
      <w:b/>
      <w:bCs/>
      <w:color w:val="000000"/>
      <w:lang w:eastAsia="hr-HR"/>
    </w:rPr>
  </w:style>
  <w:style w:type="paragraph" w:customStyle="1" w:styleId="xl69">
    <w:name w:val="xl69"/>
    <w:basedOn w:val="Normal"/>
    <w:uiPriority w:val="99"/>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Palatino Linotype" w:eastAsia="Times New Roman" w:hAnsi="Palatino Linotype" w:cs="Times New Roman"/>
      <w:b/>
      <w:bCs/>
      <w:i/>
      <w:iCs/>
      <w:color w:val="000000"/>
      <w:lang w:eastAsia="hr-HR"/>
    </w:rPr>
  </w:style>
  <w:style w:type="paragraph" w:customStyle="1" w:styleId="xl70">
    <w:name w:val="xl7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b/>
      <w:bCs/>
      <w:color w:val="000000"/>
      <w:lang w:eastAsia="hr-HR"/>
    </w:rPr>
  </w:style>
  <w:style w:type="paragraph" w:customStyle="1" w:styleId="xl71">
    <w:name w:val="xl7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b/>
      <w:bCs/>
      <w:color w:val="000000"/>
      <w:lang w:eastAsia="hr-HR"/>
    </w:rPr>
  </w:style>
  <w:style w:type="paragraph" w:customStyle="1" w:styleId="xl72">
    <w:name w:val="xl7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i/>
      <w:iCs/>
      <w:color w:val="000000"/>
      <w:lang w:eastAsia="hr-HR"/>
    </w:rPr>
  </w:style>
  <w:style w:type="paragraph" w:customStyle="1" w:styleId="xl73">
    <w:name w:val="xl73"/>
    <w:basedOn w:val="Normal"/>
    <w:uiPriority w:val="99"/>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Palatino Linotype" w:eastAsia="Times New Roman" w:hAnsi="Palatino Linotype" w:cs="Times New Roman"/>
      <w:color w:val="000000"/>
      <w:lang w:eastAsia="hr-HR"/>
    </w:rPr>
  </w:style>
  <w:style w:type="paragraph" w:customStyle="1" w:styleId="xl74">
    <w:name w:val="xl7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b/>
      <w:bCs/>
      <w:color w:val="000000"/>
      <w:lang w:eastAsia="hr-HR"/>
    </w:rPr>
  </w:style>
  <w:style w:type="paragraph" w:customStyle="1" w:styleId="xl75">
    <w:name w:val="xl75"/>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color w:val="000000"/>
      <w:lang w:eastAsia="hr-HR"/>
    </w:rPr>
  </w:style>
  <w:style w:type="paragraph" w:customStyle="1" w:styleId="xl76">
    <w:name w:val="xl7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pPr>
    <w:rPr>
      <w:rFonts w:ascii="Palatino Linotype" w:eastAsia="Times New Roman" w:hAnsi="Palatino Linotype" w:cs="Times New Roman"/>
      <w:szCs w:val="24"/>
      <w:lang w:eastAsia="hr-HR"/>
    </w:rPr>
  </w:style>
  <w:style w:type="paragraph" w:customStyle="1" w:styleId="xl77">
    <w:name w:val="xl7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Palatino Linotype" w:eastAsia="Times New Roman" w:hAnsi="Palatino Linotype" w:cs="Times New Roman"/>
      <w:lang w:eastAsia="hr-HR"/>
    </w:rPr>
  </w:style>
  <w:style w:type="paragraph" w:customStyle="1" w:styleId="xl78">
    <w:name w:val="xl78"/>
    <w:basedOn w:val="Normal"/>
    <w:uiPriority w:val="99"/>
    <w:pPr>
      <w:pBdr>
        <w:top w:val="single" w:sz="8" w:space="0" w:color="9BBB59"/>
        <w:left w:val="single" w:sz="8" w:space="0" w:color="FFFFFF"/>
        <w:bottom w:val="single" w:sz="8" w:space="0" w:color="FFFFFF"/>
        <w:right w:val="single" w:sz="8" w:space="0" w:color="9BBB59"/>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79">
    <w:name w:val="xl79"/>
    <w:basedOn w:val="Normal"/>
    <w:uiPriority w:val="99"/>
    <w:pPr>
      <w:pBdr>
        <w:left w:val="single" w:sz="8" w:space="0" w:color="9BBB59"/>
        <w:bottom w:val="single" w:sz="8" w:space="0" w:color="FFFFFF"/>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0">
    <w:name w:val="xl80"/>
    <w:basedOn w:val="Normal"/>
    <w:uiPriority w:val="99"/>
    <w:pPr>
      <w:pBdr>
        <w:top w:val="single" w:sz="8" w:space="0" w:color="FFFFFF"/>
        <w:left w:val="single" w:sz="8" w:space="0" w:color="9BBB59"/>
        <w:bottom w:val="single" w:sz="8" w:space="0" w:color="FFFFFF"/>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1">
    <w:name w:val="xl81"/>
    <w:basedOn w:val="Normal"/>
    <w:uiPriority w:val="99"/>
    <w:pPr>
      <w:pBdr>
        <w:top w:val="single" w:sz="8" w:space="0" w:color="FFFFFF"/>
        <w:left w:val="single" w:sz="8" w:space="0" w:color="9BBB59"/>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2">
    <w:name w:val="xl82"/>
    <w:basedOn w:val="Normal"/>
    <w:uiPriority w:val="99"/>
    <w:pPr>
      <w:pBdr>
        <w:top w:val="single" w:sz="8" w:space="0" w:color="9BBB59"/>
        <w:left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3">
    <w:name w:val="xl83"/>
    <w:basedOn w:val="Normal"/>
    <w:uiPriority w:val="99"/>
    <w:pPr>
      <w:pBdr>
        <w:left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4">
    <w:name w:val="xl84"/>
    <w:basedOn w:val="Normal"/>
    <w:uiPriority w:val="99"/>
    <w:pPr>
      <w:pBdr>
        <w:left w:val="single" w:sz="8" w:space="0" w:color="9BBB59"/>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5">
    <w:name w:val="xl85"/>
    <w:basedOn w:val="Normal"/>
    <w:uiPriority w:val="99"/>
    <w:pPr>
      <w:pBdr>
        <w:top w:val="single" w:sz="8" w:space="0" w:color="9BBB59"/>
        <w:bottom w:val="single" w:sz="8" w:space="0" w:color="FFFFFF"/>
        <w:right w:val="single" w:sz="8" w:space="0" w:color="FFFFFF"/>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6">
    <w:name w:val="xl86"/>
    <w:basedOn w:val="Normal"/>
    <w:uiPriority w:val="99"/>
    <w:pPr>
      <w:pBdr>
        <w:top w:val="single" w:sz="8" w:space="0" w:color="9BBB59"/>
        <w:left w:val="single" w:sz="8" w:space="0" w:color="FFFFFF"/>
        <w:bottom w:val="single" w:sz="8" w:space="0" w:color="FFFFFF"/>
        <w:right w:val="single" w:sz="8" w:space="0" w:color="FFFFFF"/>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7">
    <w:name w:val="xl87"/>
    <w:basedOn w:val="Normal"/>
    <w:uiPriority w:val="99"/>
    <w:pPr>
      <w:pBdr>
        <w:top w:val="single" w:sz="8" w:space="0" w:color="9BBB59"/>
        <w:left w:val="single" w:sz="8" w:space="0" w:color="FFFFFF"/>
        <w:bottom w:val="single" w:sz="8" w:space="0" w:color="FFFFFF"/>
        <w:right w:val="single" w:sz="8" w:space="0" w:color="9BBB59"/>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8">
    <w:name w:val="xl88"/>
    <w:basedOn w:val="Normal"/>
    <w:uiPriority w:val="99"/>
    <w:pPr>
      <w:pBdr>
        <w:top w:val="single" w:sz="8" w:space="0" w:color="FFFFFF"/>
        <w:bottom w:val="single" w:sz="8" w:space="0" w:color="FFFFFF"/>
        <w:right w:val="single" w:sz="8" w:space="0" w:color="FFFFFF"/>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89">
    <w:name w:val="xl89"/>
    <w:basedOn w:val="Normal"/>
    <w:uiPriority w:val="99"/>
    <w:pPr>
      <w:pBdr>
        <w:top w:val="single" w:sz="8" w:space="0" w:color="FFFFFF"/>
        <w:left w:val="single" w:sz="8" w:space="0" w:color="FFFFFF"/>
        <w:bottom w:val="single" w:sz="8" w:space="0" w:color="FFFFFF"/>
        <w:right w:val="single" w:sz="8" w:space="0" w:color="FFFFFF"/>
      </w:pBdr>
      <w:shd w:val="clear" w:color="auto" w:fill="C4D79B"/>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90">
    <w:name w:val="xl90"/>
    <w:basedOn w:val="Normal"/>
    <w:uiPriority w:val="99"/>
    <w:pPr>
      <w:pBdr>
        <w:top w:val="single" w:sz="8" w:space="0" w:color="FFFFFF"/>
        <w:left w:val="single" w:sz="8" w:space="0" w:color="FFFFFF"/>
        <w:bottom w:val="single" w:sz="8" w:space="0" w:color="FFFFFF"/>
        <w:right w:val="single" w:sz="8" w:space="0" w:color="9BBB59"/>
      </w:pBdr>
      <w:shd w:val="clear" w:color="auto" w:fill="C4D79B"/>
      <w:spacing w:before="100" w:beforeAutospacing="1" w:after="100" w:afterAutospacing="1"/>
      <w:jc w:val="center"/>
    </w:pPr>
    <w:rPr>
      <w:rFonts w:ascii="Palatino Linotype" w:eastAsia="Times New Roman" w:hAnsi="Palatino Linotype" w:cs="Times New Roman"/>
      <w:b/>
      <w:bCs/>
      <w:i/>
      <w:iCs/>
      <w:color w:val="FFFFFF"/>
      <w:lang w:eastAsia="hr-HR"/>
    </w:rPr>
  </w:style>
  <w:style w:type="paragraph" w:customStyle="1" w:styleId="xl91">
    <w:name w:val="xl91"/>
    <w:basedOn w:val="Normal"/>
    <w:uiPriority w:val="99"/>
    <w:pPr>
      <w:pBdr>
        <w:top w:val="single" w:sz="8" w:space="0" w:color="FFFFFF"/>
        <w:left w:val="single" w:sz="8" w:space="0" w:color="FFFFFF"/>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i/>
      <w:iCs/>
      <w:color w:val="FFFFFF"/>
      <w:lang w:eastAsia="hr-HR"/>
    </w:rPr>
  </w:style>
  <w:style w:type="paragraph" w:customStyle="1" w:styleId="xl92">
    <w:name w:val="xl92"/>
    <w:basedOn w:val="Normal"/>
    <w:uiPriority w:val="99"/>
    <w:pPr>
      <w:pBdr>
        <w:top w:val="single" w:sz="8" w:space="0" w:color="9BBB59"/>
        <w:left w:val="single" w:sz="8" w:space="0" w:color="FFFFFF"/>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93">
    <w:name w:val="xl93"/>
    <w:basedOn w:val="Normal"/>
    <w:uiPriority w:val="99"/>
    <w:pPr>
      <w:pBdr>
        <w:top w:val="single" w:sz="8" w:space="0" w:color="9BBB59"/>
        <w:left w:val="single" w:sz="8" w:space="0" w:color="FFFFFF"/>
        <w:bottom w:val="single" w:sz="8" w:space="0" w:color="9BBB59"/>
        <w:right w:val="single" w:sz="8" w:space="0" w:color="9BBB59"/>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94">
    <w:name w:val="xl94"/>
    <w:basedOn w:val="Normal"/>
    <w:uiPriority w:val="99"/>
    <w:pPr>
      <w:pBdr>
        <w:top w:val="single" w:sz="8" w:space="0" w:color="9BBB59"/>
        <w:left w:val="single" w:sz="8" w:space="0" w:color="9BBB59"/>
        <w:bottom w:val="single" w:sz="8" w:space="0" w:color="9BBB59"/>
        <w:right w:val="single" w:sz="8" w:space="0" w:color="9BBB59"/>
      </w:pBdr>
      <w:spacing w:before="100" w:beforeAutospacing="1" w:after="100" w:afterAutospacing="1"/>
      <w:jc w:val="right"/>
    </w:pPr>
    <w:rPr>
      <w:rFonts w:ascii="Palatino Linotype" w:eastAsia="Times New Roman" w:hAnsi="Palatino Linotype" w:cs="Times New Roman"/>
      <w:b/>
      <w:bCs/>
      <w:color w:val="000000"/>
      <w:lang w:eastAsia="hr-HR"/>
    </w:rPr>
  </w:style>
  <w:style w:type="paragraph" w:customStyle="1" w:styleId="xl95">
    <w:name w:val="xl95"/>
    <w:basedOn w:val="Normal"/>
    <w:uiPriority w:val="99"/>
    <w:pPr>
      <w:pBdr>
        <w:top w:val="single" w:sz="8" w:space="0" w:color="9BBB59"/>
        <w:left w:val="single" w:sz="8" w:space="0" w:color="9BBB59"/>
        <w:bottom w:val="single" w:sz="8" w:space="0" w:color="9BBB59"/>
        <w:right w:val="single" w:sz="8" w:space="0" w:color="9BBB59"/>
      </w:pBdr>
      <w:spacing w:before="100" w:beforeAutospacing="1" w:after="100" w:afterAutospacing="1"/>
      <w:jc w:val="right"/>
    </w:pPr>
    <w:rPr>
      <w:rFonts w:ascii="Palatino Linotype" w:eastAsia="Times New Roman" w:hAnsi="Palatino Linotype" w:cs="Times New Roman"/>
      <w:color w:val="000000"/>
      <w:lang w:eastAsia="hr-HR"/>
    </w:rPr>
  </w:style>
  <w:style w:type="paragraph" w:customStyle="1" w:styleId="xl96">
    <w:name w:val="xl96"/>
    <w:basedOn w:val="Normal"/>
    <w:uiPriority w:val="99"/>
    <w:pPr>
      <w:pBdr>
        <w:top w:val="single" w:sz="8" w:space="0" w:color="FFFFFF"/>
        <w:left w:val="single" w:sz="8" w:space="0" w:color="9BBB59"/>
        <w:bottom w:val="single" w:sz="8" w:space="0" w:color="9BBB59"/>
        <w:right w:val="single" w:sz="8" w:space="0" w:color="FFFFFF"/>
      </w:pBdr>
      <w:shd w:val="clear" w:color="auto" w:fill="C4D79B"/>
      <w:spacing w:before="100" w:beforeAutospacing="1" w:after="100" w:afterAutospacing="1"/>
      <w:jc w:val="right"/>
    </w:pPr>
    <w:rPr>
      <w:rFonts w:ascii="Palatino Linotype" w:eastAsia="Times New Roman" w:hAnsi="Palatino Linotype" w:cs="Times New Roman"/>
      <w:b/>
      <w:bCs/>
      <w:color w:val="FFFFFF"/>
      <w:lang w:eastAsia="hr-HR"/>
    </w:rPr>
  </w:style>
  <w:style w:type="paragraph" w:customStyle="1" w:styleId="xl97">
    <w:name w:val="xl97"/>
    <w:basedOn w:val="Normal"/>
    <w:uiPriority w:val="99"/>
    <w:pPr>
      <w:pBdr>
        <w:top w:val="single" w:sz="8" w:space="0" w:color="FFFFFF"/>
        <w:left w:val="single" w:sz="8" w:space="0" w:color="FFFFFF"/>
        <w:bottom w:val="single" w:sz="8" w:space="0" w:color="9BBB59"/>
        <w:right w:val="single" w:sz="8" w:space="0" w:color="FFFFFF"/>
      </w:pBdr>
      <w:shd w:val="clear" w:color="auto" w:fill="C4D79B"/>
      <w:spacing w:before="100" w:beforeAutospacing="1" w:after="100" w:afterAutospacing="1"/>
      <w:jc w:val="right"/>
    </w:pPr>
    <w:rPr>
      <w:rFonts w:ascii="Palatino Linotype" w:eastAsia="Times New Roman" w:hAnsi="Palatino Linotype" w:cs="Times New Roman"/>
      <w:b/>
      <w:bCs/>
      <w:color w:val="FFFFFF"/>
      <w:lang w:eastAsia="hr-HR"/>
    </w:rPr>
  </w:style>
  <w:style w:type="paragraph" w:customStyle="1" w:styleId="xl98">
    <w:name w:val="xl98"/>
    <w:basedOn w:val="Normal"/>
    <w:uiPriority w:val="99"/>
    <w:pPr>
      <w:pBdr>
        <w:top w:val="single" w:sz="8" w:space="0" w:color="FFFFFF"/>
        <w:left w:val="single" w:sz="8" w:space="0" w:color="FFFFFF"/>
        <w:bottom w:val="single" w:sz="8" w:space="0" w:color="9BBB59"/>
        <w:right w:val="single" w:sz="8" w:space="0" w:color="9BBB59"/>
      </w:pBdr>
      <w:shd w:val="clear" w:color="auto" w:fill="C4D79B"/>
      <w:spacing w:before="100" w:beforeAutospacing="1" w:after="100" w:afterAutospacing="1"/>
      <w:jc w:val="right"/>
    </w:pPr>
    <w:rPr>
      <w:rFonts w:ascii="Palatino Linotype" w:eastAsia="Times New Roman" w:hAnsi="Palatino Linotype" w:cs="Times New Roman"/>
      <w:b/>
      <w:bCs/>
      <w:color w:val="FFFFFF"/>
      <w:lang w:eastAsia="hr-HR"/>
    </w:rPr>
  </w:style>
  <w:style w:type="paragraph" w:customStyle="1" w:styleId="xl99">
    <w:name w:val="xl99"/>
    <w:basedOn w:val="Normal"/>
    <w:uiPriority w:val="99"/>
    <w:pPr>
      <w:pBdr>
        <w:top w:val="single" w:sz="8" w:space="0" w:color="FFFFFF"/>
        <w:left w:val="single" w:sz="8" w:space="0" w:color="FFFFFF"/>
        <w:bottom w:val="single" w:sz="8" w:space="0" w:color="FFFFFF"/>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i/>
      <w:iCs/>
      <w:color w:val="FFFFFF"/>
      <w:lang w:eastAsia="hr-HR"/>
    </w:rPr>
  </w:style>
  <w:style w:type="paragraph" w:customStyle="1" w:styleId="xl100">
    <w:name w:val="xl100"/>
    <w:basedOn w:val="Normal"/>
    <w:uiPriority w:val="99"/>
    <w:pPr>
      <w:pBdr>
        <w:top w:val="single" w:sz="8" w:space="0" w:color="FFFFFF"/>
        <w:left w:val="single" w:sz="8" w:space="0" w:color="FFFFFF"/>
        <w:bottom w:val="single" w:sz="8" w:space="0" w:color="9BBB59"/>
        <w:right w:val="single" w:sz="8" w:space="0" w:color="FFFFFF"/>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xl101">
    <w:name w:val="xl101"/>
    <w:basedOn w:val="Normal"/>
    <w:uiPriority w:val="99"/>
    <w:pPr>
      <w:pBdr>
        <w:top w:val="single" w:sz="8" w:space="0" w:color="FFFFFF"/>
        <w:left w:val="single" w:sz="8" w:space="0" w:color="FFFFFF"/>
        <w:bottom w:val="single" w:sz="8" w:space="0" w:color="9BBB59"/>
        <w:right w:val="single" w:sz="8" w:space="0" w:color="9BBB59"/>
      </w:pBdr>
      <w:shd w:val="clear" w:color="auto" w:fill="9BBB59"/>
      <w:spacing w:before="100" w:beforeAutospacing="1" w:after="100" w:afterAutospacing="1"/>
      <w:jc w:val="center"/>
    </w:pPr>
    <w:rPr>
      <w:rFonts w:ascii="Palatino Linotype" w:eastAsia="Times New Roman" w:hAnsi="Palatino Linotype" w:cs="Times New Roman"/>
      <w:b/>
      <w:bCs/>
      <w:color w:val="FFFFFF"/>
      <w:lang w:eastAsia="hr-HR"/>
    </w:rPr>
  </w:style>
  <w:style w:type="paragraph" w:customStyle="1" w:styleId="BodyText20">
    <w:name w:val="Body Text2"/>
    <w:uiPriority w:val="99"/>
    <w:pPr>
      <w:spacing w:after="80" w:line="240" w:lineRule="auto"/>
    </w:pPr>
    <w:rPr>
      <w:rFonts w:ascii="GarmdITC Bk BT" w:eastAsia="Times New Roman" w:hAnsi="GarmdITC Bk BT" w:cs="Times New Roman"/>
      <w:sz w:val="21"/>
      <w:lang w:eastAsia="hr-HR"/>
    </w:rPr>
  </w:style>
  <w:style w:type="table" w:customStyle="1" w:styleId="LightList-Accent51">
    <w:name w:val="Light List - Accent 51"/>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1">
    <w:name w:val="Medium Shading 1 - Accent 61"/>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2">
    <w:name w:val="Table Grid2"/>
    <w:basedOn w:val="TableNormal"/>
    <w:next w:val="TableGrid"/>
    <w:uiPriority w:val="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tyle>
  <w:style w:type="paragraph" w:customStyle="1" w:styleId="BodyText30">
    <w:name w:val="Body Text3"/>
    <w:uiPriority w:val="99"/>
    <w:pPr>
      <w:spacing w:after="80" w:line="240" w:lineRule="auto"/>
    </w:pPr>
    <w:rPr>
      <w:rFonts w:ascii="GarmdITC Bk BT" w:eastAsia="Times New Roman" w:hAnsi="GarmdITC Bk BT" w:cs="Times New Roman"/>
      <w:sz w:val="21"/>
      <w:lang w:eastAsia="hr-HR"/>
    </w:rPr>
  </w:style>
  <w:style w:type="table" w:customStyle="1" w:styleId="LightList-Accent52">
    <w:name w:val="Light List - Accent 52"/>
    <w:basedOn w:val="TableNormal"/>
    <w:next w:val="LightList-Accent5"/>
    <w:uiPriority w:val="61"/>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
    <w:name w:val="Light Shading - Accent 32"/>
    <w:basedOn w:val="TableNormal"/>
    <w:next w:val="LightShading-Accent3"/>
    <w:uiPriority w:val="60"/>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2">
    <w:name w:val="Medium Shading 1 - Accent 62"/>
    <w:basedOn w:val="TableNormal"/>
    <w:next w:val="MediumShading1-Accent6"/>
    <w:uiPriority w:val="63"/>
    <w:pPr>
      <w:spacing w:after="0" w:line="240" w:lineRule="auto"/>
    </w:pPr>
    <w:rPr>
      <w:rFonts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numbering" w:customStyle="1" w:styleId="NoList12">
    <w:name w:val="No List12"/>
    <w:next w:val="NoList"/>
    <w:uiPriority w:val="99"/>
    <w:semiHidden/>
    <w:unhideWhenUsed/>
  </w:style>
  <w:style w:type="paragraph" w:customStyle="1" w:styleId="Legend">
    <w:name w:val="Legend"/>
    <w:basedOn w:val="Normal"/>
    <w:next w:val="Normal"/>
    <w:uiPriority w:val="99"/>
    <w:pPr>
      <w:keepNext/>
      <w:widowControl w:val="0"/>
      <w:tabs>
        <w:tab w:val="left" w:pos="1789"/>
        <w:tab w:val="left" w:pos="3579"/>
        <w:tab w:val="left" w:pos="5368"/>
        <w:tab w:val="left" w:pos="7158"/>
        <w:tab w:val="left" w:pos="8948"/>
      </w:tabs>
    </w:pPr>
    <w:rPr>
      <w:rFonts w:ascii="NewBskvll BT" w:eastAsia="Times New Roman" w:hAnsi="NewBskvll BT" w:cs="Times New Roman"/>
      <w:b/>
      <w:sz w:val="16"/>
      <w:lang w:val="en-GB"/>
    </w:rPr>
  </w:style>
  <w:style w:type="numbering" w:customStyle="1" w:styleId="NoList3">
    <w:name w:val="No List3"/>
    <w:next w:val="NoList"/>
    <w:uiPriority w:val="99"/>
    <w:semiHidden/>
    <w:unhideWhenUsed/>
  </w:style>
  <w:style w:type="numbering" w:customStyle="1" w:styleId="NoList13">
    <w:name w:val="No List13"/>
    <w:next w:val="NoList"/>
    <w:uiPriority w:val="99"/>
    <w:semiHidden/>
    <w:unhideWhenUsed/>
  </w:style>
  <w:style w:type="paragraph" w:customStyle="1" w:styleId="uvlaka3111">
    <w:name w:val="uvlaka 3111"/>
    <w:basedOn w:val="Normal"/>
    <w:next w:val="BodyText"/>
    <w:uiPriority w:val="99"/>
    <w:semiHidden/>
    <w:unhideWhenUsed/>
    <w:rPr>
      <w:rFonts w:ascii="Arial" w:hAnsi="Arial" w:cs="Arial"/>
    </w:rPr>
  </w:style>
  <w:style w:type="table" w:customStyle="1" w:styleId="LightShading-Accent33">
    <w:name w:val="Light Shading - Accent 33"/>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LightList-Accent53">
    <w:name w:val="Light List - Accent 53"/>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63">
    <w:name w:val="Medium Shading 1 - Accent 63"/>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11">
    <w:name w:val="TableGrid1"/>
    <w:pPr>
      <w:spacing w:after="0" w:line="240" w:lineRule="auto"/>
    </w:pPr>
    <w:rPr>
      <w:rFonts w:eastAsia="Times New Roman" w:cs="Times New Roman"/>
      <w:lang w:eastAsia="hr-HR"/>
    </w:rPr>
    <w:tblPr>
      <w:tblCellMar>
        <w:top w:w="0" w:type="dxa"/>
        <w:left w:w="0" w:type="dxa"/>
        <w:bottom w:w="0" w:type="dxa"/>
        <w:right w:w="0" w:type="dxa"/>
      </w:tblCellMar>
    </w:tblPr>
  </w:style>
  <w:style w:type="table" w:customStyle="1" w:styleId="TableGrid110">
    <w:name w:val="Table Grid11"/>
    <w:basedOn w:val="TableNormal"/>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1">
    <w:name w:val="Light List - Accent 511"/>
    <w:basedOn w:val="TableNormal"/>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11">
    <w:name w:val="Medium Shading 1 - Accent 611"/>
    <w:basedOn w:val="TableNormal"/>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21">
    <w:name w:val="Table Grid21"/>
    <w:basedOn w:val="TableNormal"/>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21">
    <w:name w:val="Light List - Accent 521"/>
    <w:basedOn w:val="TableNormal"/>
    <w:uiPriority w:val="61"/>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
    <w:name w:val="Light Shading - Accent 321"/>
    <w:basedOn w:val="TableNormal"/>
    <w:uiPriority w:val="60"/>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21">
    <w:name w:val="Medium Shading 1 - Accent 621"/>
    <w:basedOn w:val="TableNormal"/>
    <w:uiPriority w:val="63"/>
    <w:pPr>
      <w:spacing w:after="0" w:line="240" w:lineRule="auto"/>
    </w:pPr>
    <w:rPr>
      <w:rFonts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character" w:customStyle="1" w:styleId="BodyTextChar2">
    <w:name w:val="Body Text Char2"/>
    <w:basedOn w:val="DefaultParagraphFont"/>
    <w:uiPriority w:val="99"/>
    <w:semiHidden/>
  </w:style>
  <w:style w:type="paragraph" w:customStyle="1" w:styleId="CharCharCharCharCharChar">
    <w:name w:val="Char Char Char Char Char Char"/>
    <w:basedOn w:val="Normal"/>
    <w:uiPriority w:val="99"/>
    <w:semiHidden/>
    <w:pPr>
      <w:spacing w:line="240" w:lineRule="exact"/>
    </w:pPr>
    <w:rPr>
      <w:rFonts w:ascii="Tahoma" w:eastAsia="Times New Roman" w:hAnsi="Tahoma" w:cs="Times New Roman"/>
      <w:lang w:val="en-US"/>
    </w:rPr>
  </w:style>
  <w:style w:type="numbering" w:customStyle="1" w:styleId="NoList4">
    <w:name w:val="No List4"/>
    <w:next w:val="NoList"/>
    <w:uiPriority w:val="99"/>
    <w:semiHidden/>
    <w:unhideWhenUsed/>
  </w:style>
  <w:style w:type="paragraph" w:customStyle="1" w:styleId="font6">
    <w:name w:val="font6"/>
    <w:basedOn w:val="Normal"/>
    <w:uiPriority w:val="99"/>
    <w:pPr>
      <w:spacing w:before="100" w:beforeAutospacing="1" w:after="100" w:afterAutospacing="1"/>
    </w:pPr>
    <w:rPr>
      <w:rFonts w:ascii="Tahoma" w:eastAsia="Times New Roman" w:hAnsi="Tahoma" w:cs="Tahoma"/>
      <w:b/>
      <w:bCs/>
      <w:color w:val="000000"/>
      <w:sz w:val="18"/>
      <w:szCs w:val="18"/>
      <w:lang w:val="en-GB" w:eastAsia="en-GB"/>
    </w:rPr>
  </w:style>
  <w:style w:type="table" w:customStyle="1" w:styleId="TableGrid3">
    <w:name w:val="Table Grid3"/>
    <w:basedOn w:val="TableNormal"/>
    <w:next w:val="TableGrid"/>
    <w:uiPriority w:val="99"/>
    <w:pPr>
      <w:spacing w:after="0" w:line="240" w:lineRule="auto"/>
    </w:pPr>
    <w:rPr>
      <w:rFonts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99"/>
    <w:pPr>
      <w:spacing w:after="0" w:line="240" w:lineRule="auto"/>
    </w:pPr>
    <w:rPr>
      <w:rFonts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style>
  <w:style w:type="numbering" w:customStyle="1" w:styleId="NoList14">
    <w:name w:val="No List14"/>
    <w:next w:val="NoList"/>
    <w:uiPriority w:val="99"/>
    <w:semiHidden/>
    <w:unhideWhenUsed/>
  </w:style>
  <w:style w:type="table" w:customStyle="1" w:styleId="TableGrid20">
    <w:name w:val="TableGrid2"/>
    <w:pPr>
      <w:spacing w:after="0" w:line="240" w:lineRule="auto"/>
    </w:pPr>
    <w:rPr>
      <w:rFonts w:eastAsia="Times New Roman" w:cs="Times New Roman"/>
      <w:lang w:eastAsia="hr-HR"/>
    </w:rPr>
    <w:tblPr>
      <w:tblCellMar>
        <w:top w:w="0" w:type="dxa"/>
        <w:left w:w="0" w:type="dxa"/>
        <w:bottom w:w="0" w:type="dxa"/>
        <w:right w:w="0" w:type="dxa"/>
      </w:tblCellMar>
    </w:tblPr>
  </w:style>
  <w:style w:type="numbering" w:customStyle="1" w:styleId="NoList111">
    <w:name w:val="No List111"/>
    <w:next w:val="NoList"/>
    <w:uiPriority w:val="99"/>
  </w:style>
  <w:style w:type="table" w:customStyle="1" w:styleId="LightList-Accent54">
    <w:name w:val="Light List - Accent 54"/>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4">
    <w:name w:val="Light Shading - Accent 34"/>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4">
    <w:name w:val="Medium Shading 1 - Accent 64"/>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12">
    <w:name w:val="Table Grid12"/>
    <w:basedOn w:val="TableNormal"/>
    <w:next w:val="TableGrid"/>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style>
  <w:style w:type="table" w:customStyle="1" w:styleId="LightList-Accent512">
    <w:name w:val="Light List - Accent 512"/>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12">
    <w:name w:val="Medium Shading 1 - Accent 612"/>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22">
    <w:name w:val="Table Grid22"/>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tyle>
  <w:style w:type="table" w:customStyle="1" w:styleId="LightList-Accent522">
    <w:name w:val="Light List - Accent 522"/>
    <w:basedOn w:val="TableNormal"/>
    <w:next w:val="LightList-Accent5"/>
    <w:uiPriority w:val="61"/>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2">
    <w:name w:val="Light Shading - Accent 322"/>
    <w:basedOn w:val="TableNormal"/>
    <w:next w:val="LightShading-Accent3"/>
    <w:uiPriority w:val="60"/>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22">
    <w:name w:val="Medium Shading 1 - Accent 622"/>
    <w:basedOn w:val="TableNormal"/>
    <w:next w:val="MediumShading1-Accent6"/>
    <w:uiPriority w:val="63"/>
    <w:pPr>
      <w:spacing w:after="0" w:line="240" w:lineRule="auto"/>
    </w:pPr>
    <w:rPr>
      <w:rFonts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after="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numbering" w:customStyle="1" w:styleId="NoList121">
    <w:name w:val="No List121"/>
    <w:next w:val="NoList"/>
    <w:uiPriority w:val="99"/>
    <w:semiHidden/>
    <w:unhideWhenUsed/>
  </w:style>
  <w:style w:type="numbering" w:customStyle="1" w:styleId="NoList31">
    <w:name w:val="No List31"/>
    <w:next w:val="NoList"/>
    <w:uiPriority w:val="99"/>
    <w:semiHidden/>
    <w:unhideWhenUsed/>
  </w:style>
  <w:style w:type="numbering" w:customStyle="1" w:styleId="NoList131">
    <w:name w:val="No List131"/>
    <w:next w:val="NoList"/>
    <w:uiPriority w:val="99"/>
    <w:semiHidden/>
    <w:unhideWhenUsed/>
  </w:style>
  <w:style w:type="table" w:customStyle="1" w:styleId="Izvjescetablica11">
    <w:name w:val="Izvjescetablica11"/>
    <w:basedOn w:val="TableNormal"/>
    <w:next w:val="TableGrid"/>
    <w:pPr>
      <w:spacing w:after="0" w:line="240" w:lineRule="auto"/>
    </w:pPr>
    <w:rPr>
      <w:rFonts w:ascii="Times New Roman" w:eastAsia="Times New Roman" w:hAnsi="Times New Roman" w:cs="Times New Roman"/>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331">
    <w:name w:val="Light Shading - Accent 331"/>
    <w:basedOn w:val="TableNormal"/>
    <w:next w:val="LightShading-Accent3"/>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LightList-Accent531">
    <w:name w:val="Light List - Accent 531"/>
    <w:basedOn w:val="TableNormal"/>
    <w:next w:val="LightList-Accent5"/>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631">
    <w:name w:val="Medium Shading 1 - Accent 631"/>
    <w:basedOn w:val="TableNormal"/>
    <w:next w:val="MediumShading1-Accent6"/>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111">
    <w:name w:val="TableGrid11"/>
    <w:pPr>
      <w:spacing w:after="0" w:line="240" w:lineRule="auto"/>
    </w:pPr>
    <w:rPr>
      <w:rFonts w:eastAsia="Times New Roman" w:cs="Times New Roman"/>
      <w:lang w:eastAsia="hr-HR"/>
    </w:rPr>
    <w:tblPr>
      <w:tblCellMar>
        <w:top w:w="0" w:type="dxa"/>
        <w:left w:w="0" w:type="dxa"/>
        <w:bottom w:w="0" w:type="dxa"/>
        <w:right w:w="0" w:type="dxa"/>
      </w:tblCellMar>
    </w:tblPr>
  </w:style>
  <w:style w:type="table" w:customStyle="1" w:styleId="TableGrid1110">
    <w:name w:val="Table Grid111"/>
    <w:basedOn w:val="TableNormal"/>
    <w:uiPriority w:val="5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11">
    <w:name w:val="Light List - Accent 5111"/>
    <w:basedOn w:val="TableNormal"/>
    <w:uiPriority w:val="61"/>
    <w:pPr>
      <w:spacing w:after="0" w:line="240" w:lineRule="auto"/>
    </w:pPr>
    <w:rPr>
      <w:rFonts w:ascii="Times New Roman" w:eastAsia="Times New Roman" w:hAnsi="Times New Roman" w:cs="Times New Roman"/>
      <w:lang w:eastAsia="hr-H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uiPriority w:val="60"/>
    <w:pPr>
      <w:spacing w:after="0" w:line="240" w:lineRule="auto"/>
    </w:pPr>
    <w:rPr>
      <w:rFonts w:ascii="Times New Roman" w:eastAsia="Times New Roman" w:hAnsi="Times New Roman" w:cs="Times New Roman"/>
      <w:color w:val="76923C"/>
      <w:lang w:eastAsia="hr-HR"/>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111">
    <w:name w:val="Medium Shading 1 - Accent 6111"/>
    <w:basedOn w:val="TableNormal"/>
    <w:uiPriority w:val="63"/>
    <w:pPr>
      <w:spacing w:after="0" w:line="240" w:lineRule="auto"/>
    </w:pPr>
    <w:rPr>
      <w:rFonts w:cs="Times New Roman"/>
      <w:lang w:eastAsia="hr-H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table" w:customStyle="1" w:styleId="TableGrid211">
    <w:name w:val="Table Grid211"/>
    <w:basedOn w:val="TableNormal"/>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211">
    <w:name w:val="Light List - Accent 5211"/>
    <w:basedOn w:val="TableNormal"/>
    <w:uiPriority w:val="61"/>
    <w:pPr>
      <w:spacing w:after="0" w:line="240" w:lineRule="auto"/>
    </w:pPr>
    <w:rPr>
      <w:rFonts w:ascii="Times New Roman" w:eastAsia="Times New Roman" w:hAnsi="Times New Roman" w:cs="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beforeAutospacing="0" w:after="0" w:afterAutospacing="0" w:line="240" w:lineRule="auto"/>
      </w:pPr>
      <w:rPr>
        <w:b/>
        <w:bCs/>
        <w:color w:val="FFFFFF"/>
      </w:rPr>
      <w:tblPr/>
      <w:tcPr>
        <w:shd w:val="clear" w:color="auto" w:fill="4BACC6"/>
      </w:tcPr>
    </w:tblStylePr>
    <w:tblStylePr w:type="lastRow">
      <w:pPr>
        <w:spacing w:before="0" w:beforeAutospacing="0" w:after="0" w:afterAutospacing="0" w:line="240" w:lineRule="auto"/>
      </w:pPr>
      <w:rPr>
        <w:b/>
        <w:bCs/>
      </w:rPr>
      <w:tblPr/>
      <w:tcPr>
        <w:tcBorders>
          <w:top w:val="sing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211">
    <w:name w:val="Light Shading - Accent 3211"/>
    <w:basedOn w:val="TableNormal"/>
    <w:uiPriority w:val="60"/>
    <w:pPr>
      <w:spacing w:after="0" w:line="240" w:lineRule="auto"/>
    </w:pPr>
    <w:rPr>
      <w:rFonts w:ascii="Times New Roman" w:eastAsia="Times New Roman" w:hAnsi="Times New Roman" w:cs="Times New Roman"/>
      <w:color w:val="76923C"/>
      <w:lang w:val="en-GB" w:eastAsia="en-GB"/>
    </w:rPr>
    <w:tblPr>
      <w:tblStyleRowBandSize w:val="1"/>
      <w:tblStyleColBandSize w:val="1"/>
      <w:tblBorders>
        <w:top w:val="single" w:sz="8" w:space="0" w:color="9BBB59"/>
        <w:bottom w:val="single" w:sz="8" w:space="0" w:color="9BBB59"/>
      </w:tblBorders>
    </w:tblPr>
    <w:tblStylePr w:type="fir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lastRow">
      <w:pPr>
        <w:spacing w:before="0" w:beforeAutospacing="0" w:after="0" w:afterAutospacing="0" w:line="240" w:lineRule="auto"/>
      </w:pPr>
      <w:rPr>
        <w:b/>
        <w:bCs/>
      </w:rPr>
      <w:tblPr/>
      <w:tcPr>
        <w:tcBorders>
          <w:top w:val="single" w:sz="8" w:space="0" w:color="9BBB59"/>
          <w:left w:val="none" w:sz="4" w:space="0" w:color="000000"/>
          <w:bottom w:val="single" w:sz="8" w:space="0" w:color="9BBB59"/>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E6EED5"/>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E6EED5"/>
      </w:tcPr>
    </w:tblStylePr>
  </w:style>
  <w:style w:type="table" w:customStyle="1" w:styleId="MediumShading1-Accent6211">
    <w:name w:val="Medium Shading 1 - Accent 6211"/>
    <w:basedOn w:val="TableNormal"/>
    <w:uiPriority w:val="63"/>
    <w:pPr>
      <w:spacing w:after="0" w:line="240" w:lineRule="auto"/>
    </w:pPr>
    <w:rPr>
      <w:rFonts w:cs="Times New Roman"/>
      <w:lang w:val="en-GB" w:eastAsia="en-GB"/>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beforeAutospacing="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one" w:sz="4" w:space="0" w:color="000000"/>
          <w:insideV w:val="none" w:sz="4" w:space="0" w:color="000000"/>
        </w:tcBorders>
        <w:shd w:val="clear" w:color="auto" w:fill="F79646"/>
      </w:tcPr>
    </w:tblStylePr>
    <w:tblStylePr w:type="lastRow">
      <w:pPr>
        <w:spacing w:before="0" w:beforeAutospacing="0" w:after="0" w:afterAutospacing="0" w:line="240" w:lineRule="auto"/>
      </w:pPr>
      <w:rPr>
        <w:b/>
        <w:bCs/>
      </w:rPr>
      <w:tblPr/>
      <w:tcPr>
        <w:tcBorders>
          <w:top w:val="single" w:sz="6" w:space="0" w:color="F9B074"/>
          <w:left w:val="single" w:sz="8" w:space="0" w:color="F9B074"/>
          <w:bottom w:val="single" w:sz="8" w:space="0" w:color="F9B074"/>
          <w:right w:val="single" w:sz="8" w:space="0" w:color="F9B074"/>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one" w:sz="4" w:space="0" w:color="000000"/>
          <w:insideV w:val="none" w:sz="4" w:space="0" w:color="000000"/>
        </w:tcBorders>
        <w:shd w:val="clear" w:color="auto" w:fill="FDE4D0"/>
      </w:tcPr>
    </w:tblStylePr>
    <w:tblStylePr w:type="band2Horz">
      <w:tblPr/>
      <w:tcPr>
        <w:tcBorders>
          <w:insideH w:val="none" w:sz="4" w:space="0" w:color="000000"/>
          <w:insideV w:val="none" w:sz="4" w:space="0" w:color="000000"/>
        </w:tcBorders>
      </w:tcPr>
    </w:tblStylePr>
  </w:style>
  <w:style w:type="paragraph" w:customStyle="1" w:styleId="Naslov5">
    <w:name w:val="Naslov5"/>
    <w:basedOn w:val="NASLOV14"/>
    <w:uiPriority w:val="99"/>
    <w:pPr>
      <w:numPr>
        <w:numId w:val="0"/>
      </w:numPr>
      <w:ind w:left="720" w:hanging="360"/>
    </w:pPr>
  </w:style>
  <w:style w:type="table" w:customStyle="1" w:styleId="TABLICAHAOP20">
    <w:name w:val="TABLICA HAOP2"/>
    <w:basedOn w:val="TableNormal"/>
    <w:uiPriority w:val="99"/>
    <w:pPr>
      <w:spacing w:after="0" w:line="240" w:lineRule="auto"/>
    </w:pPr>
    <w:tblPr/>
  </w:style>
  <w:style w:type="table" w:customStyle="1" w:styleId="TableGrid24">
    <w:name w:val="Table Grid24"/>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NASLOVNU">
    <w:name w:val="ZA NASLOVNU"/>
    <w:basedOn w:val="Normal"/>
    <w:uiPriority w:val="99"/>
    <w:pPr>
      <w:jc w:val="right"/>
    </w:pPr>
    <w:rPr>
      <w:rFonts w:eastAsia="MS Mincho" w:cs="Times New Roman"/>
      <w:b/>
      <w:bCs/>
      <w:lang w:eastAsia="ja-JP"/>
    </w:rPr>
  </w:style>
  <w:style w:type="paragraph" w:customStyle="1" w:styleId="HEADERFOOTER">
    <w:name w:val="HEADER/FOOTER"/>
    <w:basedOn w:val="Normal"/>
    <w:uiPriority w:val="99"/>
    <w:rPr>
      <w:rFonts w:eastAsia="MS Mincho" w:cs="Times New Roman"/>
      <w:sz w:val="16"/>
      <w:szCs w:val="24"/>
      <w:lang w:eastAsia="ja-JP"/>
    </w:rPr>
  </w:style>
  <w:style w:type="paragraph" w:customStyle="1" w:styleId="SlikaAZO">
    <w:name w:val="Slika_AZO"/>
    <w:basedOn w:val="Normal"/>
    <w:uiPriority w:val="99"/>
    <w:pPr>
      <w:spacing w:before="120" w:line="360" w:lineRule="auto"/>
      <w:jc w:val="center"/>
    </w:pPr>
    <w:rPr>
      <w:rFonts w:ascii="Palatino Linotype" w:eastAsia="Times New Roman" w:hAnsi="Palatino Linotype" w:cs="Times New Roman"/>
      <w:sz w:val="20"/>
      <w:lang w:eastAsia="hr-HR"/>
    </w:rPr>
  </w:style>
  <w:style w:type="paragraph" w:customStyle="1" w:styleId="PRVIPODNASLOV">
    <w:name w:val="PRVI PODNASLOV"/>
    <w:basedOn w:val="Normal"/>
    <w:uiPriority w:val="99"/>
    <w:pPr>
      <w:tabs>
        <w:tab w:val="left" w:pos="709"/>
      </w:tabs>
      <w:spacing w:after="120"/>
      <w:ind w:left="709" w:hanging="709"/>
      <w:outlineLvl w:val="1"/>
    </w:pPr>
    <w:rPr>
      <w:rFonts w:eastAsia="MS Mincho" w:cs="Times New Roman"/>
      <w:b/>
      <w:szCs w:val="24"/>
      <w:lang w:eastAsia="ja-JP"/>
    </w:rPr>
  </w:style>
  <w:style w:type="paragraph" w:customStyle="1" w:styleId="Typedudocument">
    <w:name w:val="Type du document"/>
    <w:basedOn w:val="Normal"/>
    <w:next w:val="Normal"/>
    <w:uiPriority w:val="99"/>
    <w:pPr>
      <w:spacing w:before="360"/>
      <w:jc w:val="center"/>
    </w:pPr>
    <w:rPr>
      <w:rFonts w:eastAsia="Times New Roman" w:cs="Times New Roman"/>
      <w:b/>
      <w:lang w:val="en-GB" w:eastAsia="en-GB"/>
    </w:rPr>
  </w:style>
  <w:style w:type="paragraph" w:customStyle="1" w:styleId="TablicaAZO">
    <w:name w:val="Tablica_AZO"/>
    <w:basedOn w:val="Normal"/>
    <w:uiPriority w:val="99"/>
    <w:pPr>
      <w:keepNext/>
    </w:pPr>
    <w:rPr>
      <w:rFonts w:eastAsia="Times New Roman" w:cs="Times New Roman"/>
      <w:sz w:val="20"/>
      <w:lang w:eastAsia="hr-HR"/>
    </w:rPr>
  </w:style>
  <w:style w:type="paragraph" w:customStyle="1" w:styleId="DRUGIPODNASLOV">
    <w:name w:val="DRUGI PODNASLOV"/>
    <w:basedOn w:val="Normal"/>
    <w:uiPriority w:val="99"/>
    <w:pPr>
      <w:tabs>
        <w:tab w:val="left" w:pos="851"/>
      </w:tabs>
      <w:spacing w:before="360" w:after="120" w:line="240" w:lineRule="auto"/>
      <w:ind w:left="851" w:hanging="851"/>
    </w:pPr>
    <w:rPr>
      <w:rFonts w:eastAsia="MS Mincho" w:cs="Times New Roman"/>
      <w:b/>
      <w:szCs w:val="24"/>
      <w:lang w:eastAsia="ja-JP"/>
    </w:rPr>
  </w:style>
  <w:style w:type="character" w:customStyle="1" w:styleId="NormalWebChar">
    <w:name w:val="Normal (Web) Char"/>
    <w:basedOn w:val="DefaultParagraphFont"/>
    <w:link w:val="NormalWeb"/>
    <w:uiPriority w:val="99"/>
    <w:rPr>
      <w:rFonts w:ascii="Times New Roman" w:hAnsi="Times New Roman"/>
      <w:sz w:val="24"/>
    </w:rPr>
  </w:style>
  <w:style w:type="character" w:customStyle="1" w:styleId="CommentTextChar1">
    <w:name w:val="Comment Text Char1"/>
    <w:basedOn w:val="DefaultParagraphFont"/>
    <w:uiPriority w:val="99"/>
    <w:semiHidden/>
    <w:rPr>
      <w:rFonts w:ascii="Times New Roman" w:eastAsia="MS Mincho" w:hAnsi="Times New Roman" w:cs="Times New Roman"/>
      <w:lang w:eastAsia="ja-JP"/>
    </w:rPr>
  </w:style>
  <w:style w:type="paragraph" w:customStyle="1" w:styleId="LITERATURA">
    <w:name w:val="LITERATURA"/>
    <w:basedOn w:val="Normal"/>
    <w:uiPriority w:val="99"/>
    <w:pPr>
      <w:spacing w:before="240" w:line="240" w:lineRule="auto"/>
      <w:ind w:left="992" w:hanging="992"/>
    </w:pPr>
    <w:rPr>
      <w:rFonts w:eastAsia="MS Mincho" w:cs="Times New Roman"/>
      <w:lang w:eastAsia="ja-JP"/>
    </w:rPr>
  </w:style>
  <w:style w:type="paragraph" w:customStyle="1" w:styleId="t-9-8">
    <w:name w:val="t-9-8"/>
    <w:basedOn w:val="Normal"/>
    <w:uiPriority w:val="99"/>
    <w:pPr>
      <w:spacing w:before="100" w:beforeAutospacing="1" w:after="100" w:afterAutospacing="1" w:line="240" w:lineRule="auto"/>
      <w:jc w:val="left"/>
    </w:pPr>
    <w:rPr>
      <w:rFonts w:eastAsia="Times New Roman" w:cs="Times New Roman"/>
      <w:szCs w:val="24"/>
      <w:lang w:eastAsia="hr-HR"/>
    </w:rPr>
  </w:style>
  <w:style w:type="character" w:customStyle="1" w:styleId="TekstChar">
    <w:name w:val="Tekst Char"/>
    <w:link w:val="Tekst"/>
    <w:rPr>
      <w:rFonts w:eastAsia="Times New Roman" w:cs="Times New Roman"/>
      <w:sz w:val="18"/>
      <w:szCs w:val="18"/>
      <w:lang w:val="en-GB" w:eastAsia="hr-HR"/>
    </w:rPr>
  </w:style>
  <w:style w:type="paragraph" w:customStyle="1" w:styleId="t-98-20">
    <w:name w:val="t-98-2"/>
    <w:basedOn w:val="Normal"/>
    <w:uiPriority w:val="99"/>
    <w:pPr>
      <w:spacing w:before="100" w:beforeAutospacing="1" w:after="100" w:afterAutospacing="1" w:line="240" w:lineRule="auto"/>
      <w:jc w:val="left"/>
    </w:pPr>
    <w:rPr>
      <w:rFonts w:eastAsia="MS Mincho" w:cs="Times New Roman"/>
      <w:szCs w:val="24"/>
      <w:lang w:eastAsia="hr-HR"/>
    </w:rPr>
  </w:style>
  <w:style w:type="character" w:customStyle="1" w:styleId="IPAHeading2TextCharChar">
    <w:name w:val="IPA Heading 2 Text Char Char"/>
    <w:link w:val="IPAHeading2TextChar"/>
    <w:uiPriority w:val="99"/>
    <w:rPr>
      <w:sz w:val="24"/>
      <w:szCs w:val="22"/>
      <w:lang w:val="en-GB" w:eastAsia="en-GB"/>
    </w:rPr>
  </w:style>
  <w:style w:type="paragraph" w:customStyle="1" w:styleId="IPAHeading2TextChar">
    <w:name w:val="IPA Heading 2 Text Char"/>
    <w:basedOn w:val="Normal"/>
    <w:link w:val="IPAHeading2TextCharChar"/>
    <w:uiPriority w:val="99"/>
    <w:pPr>
      <w:spacing w:line="240" w:lineRule="auto"/>
      <w:ind w:left="1134"/>
    </w:pPr>
    <w:rPr>
      <w:rFonts w:ascii="Segoe UI" w:hAnsi="Segoe UI"/>
      <w:lang w:val="en-GB" w:eastAsia="en-GB"/>
    </w:rPr>
  </w:style>
  <w:style w:type="paragraph" w:customStyle="1" w:styleId="t-9-8-bez-uvl">
    <w:name w:val="t-9-8-bez-uvl"/>
    <w:basedOn w:val="Normal"/>
    <w:uiPriority w:val="99"/>
    <w:pPr>
      <w:spacing w:before="100" w:beforeAutospacing="1" w:after="100" w:afterAutospacing="1" w:line="240" w:lineRule="auto"/>
      <w:jc w:val="left"/>
    </w:pPr>
    <w:rPr>
      <w:rFonts w:eastAsia="MS Mincho" w:cs="Times New Roman"/>
      <w:szCs w:val="24"/>
      <w:lang w:eastAsia="hr-HR"/>
    </w:rPr>
  </w:style>
  <w:style w:type="paragraph" w:customStyle="1" w:styleId="t-98bezuvl0">
    <w:name w:val="t-98bezuvl"/>
    <w:basedOn w:val="Normal"/>
    <w:uiPriority w:val="99"/>
    <w:pPr>
      <w:spacing w:before="100" w:beforeAutospacing="1" w:after="100" w:afterAutospacing="1" w:line="240" w:lineRule="auto"/>
      <w:jc w:val="left"/>
    </w:pPr>
    <w:rPr>
      <w:rFonts w:eastAsia="MS Mincho" w:cs="Times New Roman"/>
      <w:szCs w:val="24"/>
      <w:lang w:eastAsia="hr-HR"/>
    </w:rPr>
  </w:style>
  <w:style w:type="paragraph" w:customStyle="1" w:styleId="clanak-">
    <w:name w:val="clanak-"/>
    <w:basedOn w:val="Normal"/>
    <w:uiPriority w:val="99"/>
    <w:pPr>
      <w:spacing w:before="100" w:beforeAutospacing="1" w:after="100" w:afterAutospacing="1" w:line="240" w:lineRule="auto"/>
      <w:jc w:val="center"/>
    </w:pPr>
    <w:rPr>
      <w:rFonts w:eastAsia="Times New Roman" w:cs="Times New Roman"/>
      <w:szCs w:val="24"/>
      <w:lang w:eastAsia="hr-HR"/>
    </w:rPr>
  </w:style>
  <w:style w:type="paragraph" w:customStyle="1" w:styleId="t-10-9-kurz-s-fett">
    <w:name w:val="t-10-9-kurz-s-fett"/>
    <w:basedOn w:val="Normal"/>
    <w:uiPriority w:val="99"/>
    <w:pPr>
      <w:spacing w:before="100" w:beforeAutospacing="1" w:after="100" w:afterAutospacing="1" w:line="240" w:lineRule="auto"/>
      <w:jc w:val="center"/>
    </w:pPr>
    <w:rPr>
      <w:rFonts w:eastAsia="Times New Roman" w:cs="Times New Roman"/>
      <w:b/>
      <w:bCs/>
      <w:i/>
      <w:iCs/>
      <w:sz w:val="26"/>
      <w:szCs w:val="26"/>
      <w:lang w:eastAsia="hr-HR"/>
    </w:rPr>
  </w:style>
  <w:style w:type="paragraph" w:customStyle="1" w:styleId="CM4">
    <w:name w:val="CM4"/>
    <w:basedOn w:val="Default"/>
    <w:next w:val="Default"/>
    <w:uiPriority w:val="99"/>
    <w:rPr>
      <w:rFonts w:ascii="EUAlbertina" w:eastAsia="Calibri" w:hAnsi="EUAlbertina" w:cs="Times New Roman"/>
      <w:color w:val="auto"/>
      <w:lang w:eastAsia="en-US"/>
    </w:rPr>
  </w:style>
  <w:style w:type="paragraph" w:customStyle="1" w:styleId="CRNO">
    <w:name w:val="CRNO"/>
    <w:basedOn w:val="Normal"/>
    <w:uiPriority w:val="99"/>
    <w:pPr>
      <w:spacing w:line="288" w:lineRule="auto"/>
    </w:pPr>
    <w:rPr>
      <w:rFonts w:eastAsia="MS Mincho"/>
    </w:rPr>
  </w:style>
  <w:style w:type="character" w:customStyle="1" w:styleId="HeaderChar1">
    <w:name w:val="Header Char1"/>
    <w:basedOn w:val="DefaultParagraphFont"/>
    <w:uiPriority w:val="99"/>
    <w:semiHidden/>
    <w:rPr>
      <w:rFonts w:ascii="Times New Roman" w:eastAsia="MS Mincho" w:hAnsi="Times New Roman" w:cs="Times New Roman"/>
      <w:sz w:val="24"/>
      <w:szCs w:val="24"/>
      <w:lang w:eastAsia="ja-JP"/>
    </w:rPr>
  </w:style>
  <w:style w:type="character" w:customStyle="1" w:styleId="FooterChar1">
    <w:name w:val="Footer Char1"/>
    <w:basedOn w:val="DefaultParagraphFont"/>
    <w:uiPriority w:val="99"/>
    <w:semiHidden/>
    <w:rPr>
      <w:rFonts w:ascii="Times New Roman" w:eastAsia="MS Mincho" w:hAnsi="Times New Roman" w:cs="Times New Roman"/>
      <w:sz w:val="24"/>
      <w:szCs w:val="24"/>
      <w:lang w:eastAsia="ja-JP"/>
    </w:rPr>
  </w:style>
  <w:style w:type="character" w:customStyle="1" w:styleId="BalloonTextChar1">
    <w:name w:val="Balloon Text Char1"/>
    <w:basedOn w:val="DefaultParagraphFont"/>
    <w:uiPriority w:val="99"/>
    <w:semiHidden/>
    <w:rPr>
      <w:rFonts w:eastAsia="MS Mincho" w:cs="Segoe UI"/>
      <w:sz w:val="18"/>
      <w:szCs w:val="18"/>
      <w:lang w:eastAsia="ja-JP"/>
    </w:rPr>
  </w:style>
  <w:style w:type="character" w:customStyle="1" w:styleId="kurziv1">
    <w:name w:val="kurziv1"/>
    <w:uiPriority w:val="99"/>
    <w:rPr>
      <w:i/>
      <w:iCs w:val="0"/>
    </w:rPr>
  </w:style>
  <w:style w:type="character" w:customStyle="1" w:styleId="PlainTextChar1">
    <w:name w:val="Plain Text Char1"/>
    <w:basedOn w:val="DefaultParagraphFont"/>
    <w:uiPriority w:val="99"/>
    <w:semiHidden/>
    <w:rPr>
      <w:rFonts w:ascii="Consolas" w:eastAsia="MS Mincho" w:hAnsi="Consolas" w:cs="Consolas"/>
      <w:sz w:val="21"/>
      <w:szCs w:val="21"/>
      <w:lang w:eastAsia="ja-JP"/>
    </w:rPr>
  </w:style>
  <w:style w:type="character" w:customStyle="1" w:styleId="paragrafpalatinoivana">
    <w:name w:val="paragraf palatino ivana"/>
    <w:uiPriority w:val="99"/>
    <w:rPr>
      <w:rFonts w:ascii="Palatino Linotype" w:hAnsi="Palatino Linotype" w:hint="default"/>
      <w:sz w:val="20"/>
    </w:rPr>
  </w:style>
  <w:style w:type="character" w:customStyle="1" w:styleId="bold1">
    <w:name w:val="bold1"/>
    <w:uiPriority w:val="99"/>
    <w:rPr>
      <w:b/>
      <w:bCs w:val="0"/>
    </w:rPr>
  </w:style>
  <w:style w:type="character" w:customStyle="1" w:styleId="spelle">
    <w:name w:val="spelle"/>
    <w:uiPriority w:val="99"/>
  </w:style>
  <w:style w:type="character" w:customStyle="1" w:styleId="CommentSubjectChar1">
    <w:name w:val="Comment Subject Char1"/>
    <w:basedOn w:val="CommentTextChar1"/>
    <w:uiPriority w:val="99"/>
    <w:semiHidden/>
    <w:rPr>
      <w:rFonts w:ascii="Times New Roman" w:eastAsia="MS Mincho" w:hAnsi="Times New Roman" w:cs="Times New Roman"/>
      <w:b/>
      <w:bCs/>
      <w:lang w:eastAsia="ja-JP"/>
    </w:rPr>
  </w:style>
  <w:style w:type="character" w:customStyle="1" w:styleId="dolestoje-a">
    <w:name w:val="dolestoje-a"/>
  </w:style>
  <w:style w:type="character" w:customStyle="1" w:styleId="sub">
    <w:name w:val="sub"/>
  </w:style>
  <w:style w:type="character" w:customStyle="1" w:styleId="apple-converted-space">
    <w:name w:val="apple-converted-space"/>
    <w:basedOn w:val="DefaultParagraphFont"/>
  </w:style>
  <w:style w:type="character" w:customStyle="1" w:styleId="st">
    <w:name w:val="st"/>
    <w:basedOn w:val="DefaultParagraphFont"/>
  </w:style>
  <w:style w:type="table" w:customStyle="1" w:styleId="TableGrid5">
    <w:name w:val="Table Grid5"/>
    <w:uiPriority w:val="99"/>
    <w:pPr>
      <w:spacing w:after="0" w:line="240" w:lineRule="auto"/>
    </w:pPr>
    <w:rPr>
      <w:rFonts w:ascii="Times New Roman" w:eastAsia="MS Mincho"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uiPriority w:val="99"/>
    <w:pPr>
      <w:spacing w:after="0" w:line="240" w:lineRule="auto"/>
    </w:pPr>
    <w:rPr>
      <w:rFonts w:ascii="Times New Roman" w:eastAsia="MS Mincho"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pPr>
      <w:spacing w:after="0" w:line="240" w:lineRule="auto"/>
    </w:pPr>
    <w:rPr>
      <w:rFonts w:eastAsia="MS Mincho"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uiPriority w:val="3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21">
    <w:name w:val="Plain Table 21"/>
    <w:basedOn w:val="TableNormal"/>
    <w:uiPriority w:val="42"/>
    <w:pPr>
      <w:spacing w:after="0" w:line="240" w:lineRule="auto"/>
    </w:pPr>
    <w:rPr>
      <w:rFonts w:cs="Times New Roman"/>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9">
    <w:name w:val="Table Grid9"/>
    <w:basedOn w:val="TableNormal"/>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
    <w:name w:val="Table Grid10"/>
    <w:basedOn w:val="TableNormal"/>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pPr>
      <w:spacing w:after="0" w:line="240" w:lineRule="auto"/>
    </w:pPr>
    <w:rPr>
      <w:rFonts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uiPriority w:val="5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pPr>
      <w:spacing w:line="240" w:lineRule="auto"/>
      <w:jc w:val="left"/>
    </w:pPr>
    <w:rPr>
      <w:rFonts w:ascii="Times" w:hAnsi="Times" w:cs="Times"/>
      <w:szCs w:val="24"/>
    </w:rPr>
  </w:style>
  <w:style w:type="paragraph" w:customStyle="1" w:styleId="box462116">
    <w:name w:val="box_462116"/>
    <w:basedOn w:val="Normal"/>
    <w:uiPriority w:val="99"/>
    <w:pPr>
      <w:spacing w:before="100" w:beforeAutospacing="1" w:after="100" w:afterAutospacing="1" w:line="240" w:lineRule="auto"/>
      <w:jc w:val="left"/>
    </w:pPr>
    <w:rPr>
      <w:rFonts w:eastAsia="Times New Roman" w:cs="Times New Roman"/>
      <w:szCs w:val="24"/>
      <w:lang w:eastAsia="hr-HR"/>
    </w:rPr>
  </w:style>
  <w:style w:type="character" w:customStyle="1" w:styleId="TekstkomentaraChar1">
    <w:name w:val="Tekst komentara Char1"/>
    <w:basedOn w:val="DefaultParagraphFont"/>
    <w:uiPriority w:val="99"/>
    <w:semiHidden/>
    <w:rPr>
      <w:rFonts w:ascii="Times New Roman" w:hAnsi="Times New Roman"/>
    </w:rPr>
  </w:style>
  <w:style w:type="character" w:customStyle="1" w:styleId="ObinitekstChar1">
    <w:name w:val="Obični tekst Char1"/>
    <w:basedOn w:val="DefaultParagraphFont"/>
    <w:uiPriority w:val="99"/>
    <w:semiHidden/>
    <w:rPr>
      <w:rFonts w:ascii="Consolas" w:hAnsi="Consolas"/>
      <w:sz w:val="21"/>
      <w:szCs w:val="21"/>
    </w:rPr>
  </w:style>
  <w:style w:type="character" w:customStyle="1" w:styleId="Naslov7Char1">
    <w:name w:val="Naslov 7 Char1"/>
    <w:basedOn w:val="DefaultParagraphFont"/>
    <w:uiPriority w:val="99"/>
    <w:semiHidden/>
    <w:rPr>
      <w:rFonts w:ascii="Calibri Light" w:eastAsia="Calibri Light" w:hAnsi="Calibri Light" w:cs="Calibri Light" w:hint="default"/>
      <w:i/>
      <w:iCs/>
      <w:color w:val="1F4D78" w:themeColor="accent1" w:themeShade="7F"/>
      <w:sz w:val="24"/>
    </w:rPr>
  </w:style>
  <w:style w:type="character" w:customStyle="1" w:styleId="Naslov8Char1">
    <w:name w:val="Naslov 8 Char1"/>
    <w:basedOn w:val="DefaultParagraphFont"/>
    <w:uiPriority w:val="99"/>
    <w:semiHidden/>
    <w:rPr>
      <w:rFonts w:ascii="Calibri Light" w:eastAsia="Calibri Light" w:hAnsi="Calibri Light" w:cs="Calibri Light" w:hint="default"/>
      <w:color w:val="272727" w:themeColor="text1" w:themeTint="D8"/>
      <w:sz w:val="21"/>
      <w:szCs w:val="21"/>
    </w:rPr>
  </w:style>
  <w:style w:type="character" w:customStyle="1" w:styleId="Naslov9Char1">
    <w:name w:val="Naslov 9 Char1"/>
    <w:basedOn w:val="DefaultParagraphFont"/>
    <w:uiPriority w:val="99"/>
    <w:semiHidden/>
    <w:rPr>
      <w:rFonts w:ascii="Calibri Light" w:eastAsia="Calibri Light" w:hAnsi="Calibri Light" w:cs="Calibri Light" w:hint="default"/>
      <w:i/>
      <w:iCs/>
      <w:color w:val="272727" w:themeColor="text1" w:themeTint="D8"/>
      <w:sz w:val="21"/>
      <w:szCs w:val="21"/>
    </w:rPr>
  </w:style>
  <w:style w:type="character" w:customStyle="1" w:styleId="ZaglavljeChar1">
    <w:name w:val="Zaglavlje Char1"/>
    <w:basedOn w:val="DefaultParagraphFont"/>
    <w:uiPriority w:val="99"/>
    <w:semiHidden/>
    <w:rPr>
      <w:rFonts w:ascii="Times New Roman" w:hAnsi="Times New Roman"/>
      <w:sz w:val="24"/>
    </w:rPr>
  </w:style>
  <w:style w:type="character" w:customStyle="1" w:styleId="PodnojeChar1">
    <w:name w:val="Podnožje Char1"/>
    <w:basedOn w:val="DefaultParagraphFont"/>
    <w:uiPriority w:val="99"/>
    <w:semiHidden/>
    <w:rPr>
      <w:rFonts w:ascii="Times New Roman" w:hAnsi="Times New Roman"/>
      <w:sz w:val="24"/>
    </w:rPr>
  </w:style>
  <w:style w:type="character" w:customStyle="1" w:styleId="TekstkrajnjebiljekeChar1">
    <w:name w:val="Tekst krajnje bilješke Char1"/>
    <w:basedOn w:val="DefaultParagraphFont"/>
    <w:uiPriority w:val="99"/>
    <w:semiHidden/>
    <w:rPr>
      <w:rFonts w:ascii="Times New Roman" w:hAnsi="Times New Roman"/>
    </w:rPr>
  </w:style>
  <w:style w:type="character" w:customStyle="1" w:styleId="TekstmakronaredbeChar1">
    <w:name w:val="Tekst makronaredbe Char1"/>
    <w:basedOn w:val="DefaultParagraphFont"/>
    <w:uiPriority w:val="99"/>
    <w:semiHidden/>
    <w:rPr>
      <w:rFonts w:ascii="Consolas" w:hAnsi="Consolas"/>
    </w:rPr>
  </w:style>
  <w:style w:type="character" w:customStyle="1" w:styleId="UvuenotijelotekstaChar1">
    <w:name w:val="Uvučeno tijelo teksta Char1"/>
    <w:basedOn w:val="DefaultParagraphFont"/>
    <w:uiPriority w:val="99"/>
    <w:semiHidden/>
    <w:rPr>
      <w:rFonts w:ascii="Times New Roman" w:hAnsi="Times New Roman"/>
      <w:sz w:val="24"/>
    </w:rPr>
  </w:style>
  <w:style w:type="character" w:customStyle="1" w:styleId="PodnaslovChar1">
    <w:name w:val="Podnaslov Char1"/>
    <w:basedOn w:val="DefaultParagraphFont"/>
    <w:uiPriority w:val="99"/>
    <w:rPr>
      <w:rFonts w:ascii="Calibri" w:eastAsia="Calibri" w:hAnsi="Calibri"/>
      <w:color w:val="5A5A5A" w:themeColor="text1" w:themeTint="A5"/>
      <w:spacing w:val="15"/>
      <w:sz w:val="22"/>
      <w:szCs w:val="22"/>
    </w:rPr>
  </w:style>
  <w:style w:type="character" w:customStyle="1" w:styleId="Tijeloteksta2Char1">
    <w:name w:val="Tijelo teksta 2 Char1"/>
    <w:basedOn w:val="DefaultParagraphFont"/>
    <w:uiPriority w:val="99"/>
    <w:semiHidden/>
    <w:rPr>
      <w:rFonts w:ascii="Times New Roman" w:hAnsi="Times New Roman"/>
      <w:sz w:val="24"/>
    </w:rPr>
  </w:style>
  <w:style w:type="character" w:customStyle="1" w:styleId="Tijeloteksta3Char1">
    <w:name w:val="Tijelo teksta 3 Char1"/>
    <w:basedOn w:val="DefaultParagraphFont"/>
    <w:uiPriority w:val="99"/>
    <w:semiHidden/>
    <w:rPr>
      <w:rFonts w:ascii="Times New Roman" w:hAnsi="Times New Roman"/>
      <w:sz w:val="16"/>
      <w:szCs w:val="16"/>
    </w:rPr>
  </w:style>
  <w:style w:type="character" w:customStyle="1" w:styleId="KartadokumentaChar1">
    <w:name w:val="Karta dokumenta Char1"/>
    <w:basedOn w:val="DefaultParagraphFont"/>
    <w:uiPriority w:val="99"/>
    <w:semiHidden/>
    <w:rPr>
      <w:rFonts w:cs="Segoe UI"/>
      <w:sz w:val="16"/>
      <w:szCs w:val="16"/>
    </w:rPr>
  </w:style>
  <w:style w:type="character" w:customStyle="1" w:styleId="PredmetkomentaraChar1">
    <w:name w:val="Predmet komentara Char1"/>
    <w:basedOn w:val="TekstkomentaraChar1"/>
    <w:uiPriority w:val="99"/>
    <w:semiHidden/>
    <w:rPr>
      <w:rFonts w:ascii="Times New Roman" w:hAnsi="Times New Roman"/>
      <w:b/>
      <w:bCs/>
    </w:rPr>
  </w:style>
  <w:style w:type="character" w:customStyle="1" w:styleId="TekstbaloniaChar1">
    <w:name w:val="Tekst balončića Char1"/>
    <w:basedOn w:val="DefaultParagraphFont"/>
    <w:uiPriority w:val="99"/>
    <w:semiHidden/>
    <w:rPr>
      <w:rFonts w:cs="Segoe UI"/>
      <w:sz w:val="18"/>
      <w:szCs w:val="18"/>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tekstutablicama">
    <w:name w:val="tekst u tablicama"/>
    <w:basedOn w:val="NoSpacing"/>
    <w:link w:val="tekstutablicamaChar"/>
    <w:rPr>
      <w:rFonts w:ascii="Arial Narrow" w:hAnsi="Arial Narrow"/>
      <w:sz w:val="20"/>
      <w:szCs w:val="20"/>
    </w:rPr>
  </w:style>
  <w:style w:type="character" w:customStyle="1" w:styleId="tekstutablicamaChar">
    <w:name w:val="tekst u tablicama Char"/>
    <w:link w:val="tekstutablicama"/>
    <w:rPr>
      <w:rFonts w:ascii="Arial Narrow" w:hAnsi="Arial Narrow"/>
    </w:rPr>
  </w:style>
  <w:style w:type="table" w:customStyle="1" w:styleId="Izvjescetablica3">
    <w:name w:val="Izvjescetablica3"/>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zvjescetablica4">
    <w:name w:val="Izvjescetablica4"/>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table" w:customStyle="1" w:styleId="Izvjescetablica5">
    <w:name w:val="Izvjescetablica5"/>
    <w:basedOn w:val="TableNormal"/>
    <w:next w:val="TableGrid"/>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styleId="Quote">
    <w:name w:val="Quote"/>
    <w:basedOn w:val="Normal"/>
    <w:next w:val="Normal"/>
    <w:link w:val="QuoteChar"/>
    <w:uiPriority w:val="29"/>
    <w:qFormat/>
    <w:pPr>
      <w:spacing w:before="200" w:line="264" w:lineRule="auto"/>
      <w:ind w:left="864" w:right="864"/>
      <w:jc w:val="center"/>
    </w:pPr>
    <w:rPr>
      <w:rFonts w:ascii="Calibri Light" w:eastAsia="Calibri Light" w:hAnsi="Calibri Light" w:cs="Calibri Light"/>
      <w:i/>
      <w:iCs/>
      <w:sz w:val="24"/>
      <w:szCs w:val="24"/>
    </w:rPr>
  </w:style>
  <w:style w:type="character" w:customStyle="1" w:styleId="QuoteChar">
    <w:name w:val="Quote Char"/>
    <w:basedOn w:val="DefaultParagraphFont"/>
    <w:link w:val="Quote"/>
    <w:uiPriority w:val="29"/>
    <w:rPr>
      <w:rFonts w:ascii="Calibri Light" w:eastAsia="Calibri Light" w:hAnsi="Calibri Light" w:cs="Calibri Light"/>
      <w:i/>
      <w:iCs/>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Calibri Light" w:eastAsia="Calibri Light" w:hAnsi="Calibri Light" w:cs="Calibri Light"/>
      <w:sz w:val="26"/>
      <w:szCs w:val="26"/>
    </w:rPr>
  </w:style>
  <w:style w:type="character" w:customStyle="1" w:styleId="IntenseQuoteChar">
    <w:name w:val="Intense Quote Char"/>
    <w:basedOn w:val="DefaultParagraphFont"/>
    <w:link w:val="IntenseQuote"/>
    <w:uiPriority w:val="30"/>
    <w:rPr>
      <w:rFonts w:ascii="Calibri Light" w:eastAsia="Calibri Light" w:hAnsi="Calibri Light" w:cs="Calibri Light"/>
      <w:sz w:val="26"/>
      <w:szCs w:val="26"/>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smallCaps/>
      <w:color w:val="auto"/>
      <w:u w:val="single"/>
    </w:rPr>
  </w:style>
  <w:style w:type="character" w:styleId="BookTitle">
    <w:name w:val="Book Title"/>
    <w:basedOn w:val="DefaultParagraphFont"/>
    <w:uiPriority w:val="33"/>
    <w:qFormat/>
    <w:rPr>
      <w:b/>
      <w:bCs/>
      <w:smallCaps/>
      <w:color w:val="auto"/>
    </w:rPr>
  </w:style>
  <w:style w:type="table" w:customStyle="1" w:styleId="TableGridNew1">
    <w:name w:val="Table Grid New1"/>
    <w:basedOn w:val="TableNormal"/>
    <w:next w:val="TableGrid"/>
    <w:uiPriority w:val="39"/>
    <w:pPr>
      <w:spacing w:after="0" w:line="240" w:lineRule="auto"/>
      <w:jc w:val="left"/>
    </w:pPr>
    <w:rPr>
      <w:rFonts w:ascii="Segoe UI" w:hAnsi="Segoe UI"/>
      <w:sz w:val="18"/>
      <w:szCs w:val="20"/>
    </w:rPr>
    <w:tblPr>
      <w:tblStyleRowBandSize w:val="1"/>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Pr>
    <w:tblStylePr w:type="firstRow">
      <w:pPr>
        <w:jc w:val="center"/>
      </w:pPr>
      <w:rPr>
        <w:rFonts w:ascii="Segoe UI" w:hAnsi="Segoe UI"/>
        <w:sz w:val="18"/>
      </w:rPr>
      <w:tblPr/>
      <w:tcPr>
        <w:tcBorders>
          <w:insideV w:val="single" w:sz="4" w:space="0" w:color="FFFFFF"/>
        </w:tcBorders>
        <w:shd w:val="clear" w:color="auto" w:fill="003C71"/>
        <w:vAlign w:val="center"/>
      </w:tcPr>
    </w:tblStylePr>
    <w:tblStylePr w:type="lastRow">
      <w:rPr>
        <w:b/>
      </w:rPr>
    </w:tblStylePr>
    <w:tblStylePr w:type="firstCol">
      <w:rPr>
        <w:rFonts w:ascii="Segoe UI" w:hAnsi="Segoe UI"/>
        <w:sz w:val="18"/>
      </w:rPr>
      <w:tblPr/>
      <w:tcPr>
        <w:tcBorders>
          <w:insideH w:val="single" w:sz="4" w:space="0" w:color="FFFFFF"/>
        </w:tcBorders>
        <w:shd w:val="clear" w:color="auto" w:fill="003C71"/>
      </w:tcPr>
    </w:tblStylePr>
    <w:tblStylePr w:type="band1Horz">
      <w:tblPr/>
      <w:tcPr>
        <w:shd w:val="clear" w:color="auto" w:fill="D9E2F3"/>
      </w:tcPr>
    </w:tblStylePr>
  </w:style>
  <w:style w:type="character" w:customStyle="1" w:styleId="Nerijeenospominjanje1">
    <w:name w:val="Neriješeno spominjanje1"/>
    <w:basedOn w:val="DefaultParagraphFont"/>
    <w:uiPriority w:val="99"/>
    <w:semiHidden/>
    <w:unhideWhenUsed/>
    <w:rPr>
      <w:color w:val="605E5C"/>
      <w:shd w:val="clear" w:color="auto" w:fill="E1DFDD"/>
    </w:rPr>
  </w:style>
  <w:style w:type="table" w:customStyle="1" w:styleId="Izvjescetablica6">
    <w:name w:val="Izvjescetablica6"/>
    <w:basedOn w:val="TableNormal"/>
    <w:next w:val="TableGrid"/>
    <w:uiPriority w:val="39"/>
    <w:pPr>
      <w:spacing w:after="0" w:line="240" w:lineRule="auto"/>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915804">
      <w:bodyDiv w:val="1"/>
      <w:marLeft w:val="0"/>
      <w:marRight w:val="0"/>
      <w:marTop w:val="0"/>
      <w:marBottom w:val="0"/>
      <w:divBdr>
        <w:top w:val="none" w:sz="0" w:space="0" w:color="auto"/>
        <w:left w:val="none" w:sz="0" w:space="0" w:color="auto"/>
        <w:bottom w:val="none" w:sz="0" w:space="0" w:color="auto"/>
        <w:right w:val="none" w:sz="0" w:space="0" w:color="auto"/>
      </w:divBdr>
    </w:div>
    <w:div w:id="1789199650">
      <w:bodyDiv w:val="1"/>
      <w:marLeft w:val="0"/>
      <w:marRight w:val="0"/>
      <w:marTop w:val="0"/>
      <w:marBottom w:val="0"/>
      <w:divBdr>
        <w:top w:val="none" w:sz="0" w:space="0" w:color="auto"/>
        <w:left w:val="none" w:sz="0" w:space="0" w:color="auto"/>
        <w:bottom w:val="none" w:sz="0" w:space="0" w:color="auto"/>
        <w:right w:val="none" w:sz="0" w:space="0" w:color="auto"/>
      </w:divBdr>
    </w:div>
    <w:div w:id="20172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emf"/></Relationships>
</file>

<file path=word/_rels/footnotes.xml.rels><?xml version="1.0" encoding="UTF-8" standalone="yes"?>
<Relationships xmlns="http://schemas.openxmlformats.org/package/2006/relationships"><Relationship Id="rId2" Type="http://schemas.openxmlformats.org/officeDocument/2006/relationships/hyperlink" Target="https://narodne-novine.nn.hr/clanci/sluzbeni/2017_12_123_2798.html" TargetMode="External"/><Relationship Id="rId1" Type="http://schemas.openxmlformats.org/officeDocument/2006/relationships/hyperlink" Target="http://www.haop.hr/sites/default/files/uploads/dokumenti/012_klima/dostava_podataka/Izvjesca/NIR_2020_hrv.pdf"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83365-F628-476F-AA1F-E9E2D8E3E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125</Pages>
  <Words>58801</Words>
  <Characters>335167</Characters>
  <Application>Microsoft Office Word</Application>
  <DocSecurity>0</DocSecurity>
  <Lines>2793</Lines>
  <Paragraphs>786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393182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Delija-Ruzic</dc:creator>
  <cp:keywords/>
  <dc:description/>
  <cp:lastModifiedBy>Bernarda Rožman</cp:lastModifiedBy>
  <cp:revision>12</cp:revision>
  <cp:lastPrinted>2021-06-17T10:44:00Z</cp:lastPrinted>
  <dcterms:created xsi:type="dcterms:W3CDTF">2021-04-20T07:36:00Z</dcterms:created>
  <dcterms:modified xsi:type="dcterms:W3CDTF">2021-06-17T10:44:00Z</dcterms:modified>
</cp:coreProperties>
</file>